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219075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Collegium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19459J104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Steve R. Bailey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Frazier Healthcare Partners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Union Street, Suite 3200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Seattle, WA 98101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(206) 621-7200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249.13d-1(g),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firstLine="8"/>
        <w:spacing w:after="0" w:line="277" w:lineRule="auto"/>
        <w:tabs>
          <w:tab w:leader="none" w:pos="1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272020" cy="125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25730"/>
                    </a:xfrm>
                    <a:prstGeom prst="rect">
                      <a:avLst/>
                    </a:prstGeom>
                    <a:noFill/>
                  </pic:spPr>
                </pic:pic>
              </a:graphicData>
            </a:graphic>
          </wp:anchor>
        </w:drawing>
      </w:r>
    </w:p>
    <w:p>
      <w:pPr>
        <w:sectPr>
          <w:pgSz w:w="11900" w:h="16838" w:orient="portrait"/>
          <w:cols w:equalWidth="0" w:num="1">
            <w:col w:w="11420"/>
          </w:cols>
          <w:pgMar w:left="240" w:top="774" w:right="239" w:bottom="6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2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3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4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5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Alan Frazier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3"/>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6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Nader Naini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6"/>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7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Patrick Heron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9"/>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8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James Topper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2"/>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9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Nathan Every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1,887,332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1,887,332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10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No. 1 ("Amendment No. 1") to Schedule 13D amends the statement on Schedule 13D filed on March 24, 2016 (the "Original Schedule 13D", and together with this Amendment No. 1, the "Schedule 13D") with respect to the common stock, $0.001 par value (the "Common Stock") of Collegium Pharmaceutical, Inc. (the "Issuer") having its principal executive office at 780 Dedham Street, Canton, MA 02021.</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terms used but not defined in this Amendment No. 1 have the meanings assigned thereto in the Original Schedule 13D. Except as specifically provided herein, this Amendment No. 1 does not modify any of the information previously reported on the Original Schedule 13D.</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Frazier Healthcare VI, L.P. ("FH VI");</w:t>
      </w:r>
    </w:p>
    <w:p>
      <w:pPr>
        <w:spacing w:after="0" w:line="252" w:lineRule="exact"/>
        <w:rPr>
          <w:rFonts w:ascii="Arial" w:cs="Arial" w:eastAsia="Arial" w:hAnsi="Arial"/>
          <w:sz w:val="18"/>
          <w:szCs w:val="18"/>
          <w:color w:val="auto"/>
        </w:rPr>
      </w:pPr>
    </w:p>
    <w:p>
      <w:pPr>
        <w:ind w:right="20" w:firstLine="8"/>
        <w:spacing w:after="0" w:line="277"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FHM VI, L.P. ("FHM VI LP"), which is the sole general partner of FH VI; and FHM VI, L.L.C. ("FHM VI LLC"), which is the sole general partner of FHM VI LP; and</w:t>
      </w:r>
    </w:p>
    <w:p>
      <w:pPr>
        <w:spacing w:after="0" w:line="197" w:lineRule="exact"/>
        <w:rPr>
          <w:rFonts w:ascii="Arial" w:cs="Arial" w:eastAsia="Arial" w:hAnsi="Arial"/>
          <w:sz w:val="18"/>
          <w:szCs w:val="18"/>
          <w:color w:val="auto"/>
        </w:rPr>
      </w:pPr>
    </w:p>
    <w:p>
      <w:pPr>
        <w:ind w:firstLine="8"/>
        <w:spacing w:after="0" w:line="277" w:lineRule="auto"/>
        <w:tabs>
          <w:tab w:leader="none" w:pos="2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Alan Frazier ("Frazier"), Nader Naini ("Naini"), Patrick Heron ("Heron"), James Topper ("Topper") and Nathan Every ("Every") (collectively, the "Members"). The Members are all of the members of FHM VI LLC.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persons named in this Item 2 are referred to individually herein as a "Reporting Person" and collectively as the "Reporting Persons."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FH VI is a venture capital fund concentrating in healthcare and related fields. The sole business of FHM VI LP and FHM VI LLC is to serve as general partner entities for FH VI. The principal business of each of the Members is to manage FH VI, FHM VI LP, FHM VI LLC and a number of affiliated partnerships with similar businesses.</w:t>
      </w:r>
    </w:p>
    <w:p>
      <w:pPr>
        <w:spacing w:after="0" w:line="208" w:lineRule="exact"/>
        <w:rPr>
          <w:sz w:val="20"/>
          <w:szCs w:val="20"/>
          <w:color w:val="auto"/>
        </w:rPr>
      </w:pPr>
    </w:p>
    <w:p>
      <w:pPr>
        <w:jc w:val="both"/>
        <w:ind w:right="20" w:firstLine="8"/>
        <w:spacing w:after="0" w:line="264"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208" w:lineRule="exact"/>
        <w:rPr>
          <w:rFonts w:ascii="Arial" w:cs="Arial" w:eastAsia="Arial" w:hAnsi="Arial"/>
          <w:sz w:val="18"/>
          <w:szCs w:val="18"/>
          <w:color w:val="auto"/>
        </w:rPr>
      </w:pPr>
    </w:p>
    <w:p>
      <w:pPr>
        <w:ind w:firstLine="8"/>
        <w:spacing w:after="0" w:line="277" w:lineRule="auto"/>
        <w:tabs>
          <w:tab w:leader="none" w:pos="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FH VI and FHM VI LP are limited partnerships organized under the laws of the State of Delaware. FHM VI LLC is a limited liability company organized under the laws of the State of Delaware. Each of the Members is a United States citizen.</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jc w:val="both"/>
        <w:ind w:left="1960" w:hanging="655"/>
        <w:spacing w:after="0" w:line="25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FH VI is the record owner of 1,887,332 (the "FH VI Shares"). As the sole general partner of FH VI, FHM VI LP may be deemed to own beneficially the FH VI Shares. As the sole general partner of FHM VI LP, FHM VI LLC may be deemed to own beneficially the FH VI Shares. As individual members of FHM VI LLC, each of the Members may be deemed to own beneficially the FH VI Shares. Each Reporting Person disclaims beneficial ownership of all FH VI Shares other than those shares which such person owns of record.</w:t>
      </w:r>
    </w:p>
    <w:p>
      <w:pPr>
        <w:spacing w:after="0" w:line="215" w:lineRule="exact"/>
        <w:rPr>
          <w:rFonts w:ascii="Arial" w:cs="Arial" w:eastAsia="Arial" w:hAnsi="Arial"/>
          <w:sz w:val="18"/>
          <w:szCs w:val="18"/>
          <w:color w:val="auto"/>
        </w:rPr>
      </w:pPr>
    </w:p>
    <w:p>
      <w:pPr>
        <w:jc w:val="both"/>
        <w:ind w:left="1960"/>
        <w:spacing w:after="0" w:line="312" w:lineRule="auto"/>
        <w:rPr>
          <w:rFonts w:ascii="Arial" w:cs="Arial" w:eastAsia="Arial" w:hAnsi="Arial"/>
          <w:sz w:val="18"/>
          <w:szCs w:val="18"/>
          <w:color w:val="auto"/>
        </w:rPr>
      </w:pPr>
      <w:r>
        <w:rPr>
          <w:rFonts w:ascii="Arial" w:cs="Arial" w:eastAsia="Arial" w:hAnsi="Arial"/>
          <w:sz w:val="16"/>
          <w:szCs w:val="16"/>
          <w:color w:val="auto"/>
        </w:rPr>
        <w:t>The percentage of outstanding Common Stock of the Issuer which may be deemed to be beneficially owned by each Reporting Person is set forth on Line 13 of such Reporting Person's cover sheet. Such percentage was calculated based on the 32,562,277 shares of Common Stock outstanding as of October 31, 2017 as set forth in the Issuer's 10-Q filed on 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11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FH VI Shares beneficially owned by any of the Reporting Persons.</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 L.L.C., its General Partner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FHM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 L.L.C., its General Partner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FHM VI, L.L.C.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-10160</wp:posOffset>
            </wp:positionV>
            <wp:extent cx="1851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No. 1 to Schedule 13D was executed by Steve R. Bailey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13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3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to be filed with respect to the ownership by each of the undersigned of shares of Common Stock of Collegium Pharmaceutical,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 L.L.C., its General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 L.L.C., its General Partner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-10160</wp:posOffset>
            </wp:positionV>
            <wp:extent cx="1851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Agreement was executed by Steve R. Bailey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19459J104</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14 of 14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February,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Alan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97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Nader Naini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84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74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65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Nathan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8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Nathan Every</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4"/>
      <w:numFmt w:val="bullet"/>
      <w:start w:val="1"/>
    </w:lvl>
  </w:abstractNum>
  <w:abstractNum w:abstractNumId="3">
    <w:nsid w:val="4E6AFB66"/>
    <w:multiLevelType w:val="hybridMultilevel"/>
    <w:lvl w:ilvl="0">
      <w:lvlJc w:val="left"/>
      <w:lvlText w:val="6"/>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4"/>
      <w:numFmt w:val="bullet"/>
      <w:start w:val="1"/>
    </w:lvl>
  </w:abstractNum>
  <w:abstractNum w:abstractNumId="6">
    <w:nsid w:val="431BD7B7"/>
    <w:multiLevelType w:val="hybridMultilevel"/>
    <w:lvl w:ilvl="0">
      <w:lvlJc w:val="left"/>
      <w:lvlText w:val="6"/>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4"/>
      <w:numFmt w:val="bullet"/>
      <w:start w:val="1"/>
    </w:lvl>
  </w:abstractNum>
  <w:abstractNum w:abstractNumId="9">
    <w:nsid w:val="257130A3"/>
    <w:multiLevelType w:val="hybridMultilevel"/>
    <w:lvl w:ilvl="0">
      <w:lvlJc w:val="left"/>
      <w:lvlText w:val="6"/>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4"/>
      <w:numFmt w:val="bullet"/>
      <w:start w:val="1"/>
    </w:lvl>
  </w:abstractNum>
  <w:abstractNum w:abstractNumId="12">
    <w:nsid w:val="628C895D"/>
    <w:multiLevelType w:val="hybridMultilevel"/>
    <w:lvl w:ilvl="0">
      <w:lvlJc w:val="left"/>
      <w:lvlText w:val="6"/>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4"/>
      <w:numFmt w:val="bullet"/>
      <w:start w:val="1"/>
    </w:lvl>
  </w:abstractNum>
  <w:abstractNum w:abstractNumId="15">
    <w:nsid w:val="2443A858"/>
    <w:multiLevelType w:val="hybridMultilevel"/>
    <w:lvl w:ilvl="0">
      <w:lvlJc w:val="left"/>
      <w:lvlText w:val="6"/>
      <w:numFmt w:val="bullet"/>
      <w:start w:val="1"/>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6"/>
      <w:numFmt w:val="bullet"/>
      <w:start w:val="1"/>
    </w:lvl>
  </w:abstractNum>
  <w:abstractNum w:abstractNumId="19">
    <w:nsid w:val="8EDBDAB"/>
    <w:multiLevelType w:val="hybridMultilevel"/>
    <w:lvl w:ilvl="0">
      <w:lvlJc w:val="left"/>
      <w:lvlText w:val="1"/>
      <w:numFmt w:val="bullet"/>
      <w:start w:val="1"/>
    </w:lvl>
  </w:abstractNum>
  <w:abstractNum w:abstractNumId="20">
    <w:nsid w:val="79838CB2"/>
    <w:multiLevelType w:val="hybridMultilevel"/>
    <w:lvl w:ilvl="0">
      <w:lvlJc w:val="left"/>
      <w:lvlText w:val="4"/>
      <w:numFmt w:val="bullet"/>
      <w:start w:val="1"/>
    </w:lvl>
  </w:abstractNum>
  <w:abstractNum w:abstractNumId="21">
    <w:nsid w:val="4353D0CD"/>
    <w:multiLevelType w:val="hybridMultilevel"/>
    <w:lvl w:ilvl="0">
      <w:lvlJc w:val="left"/>
      <w:lvlText w:val="6"/>
      <w:numFmt w:val="bullet"/>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6"/>
      <w:numFmt w:val="bullet"/>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4"/>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2019-12-06T22:19:22Z</dcterms:created>
  <dcterms:modified xsi:type="dcterms:W3CDTF">2019-12-06T22:19:22Z</dcterms:modified>
</cp:coreProperties>
</file>