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12"/>
        </w:rPr>
      </w:pPr>
      <w:r>
        <w:rPr>
          <w:rFonts w:ascii="Times New Roman;serif" w:hAnsi="Times New Roman;serif"/>
          <w:b/>
          <w:color w:val="000000"/>
          <w:sz w:val="12"/>
        </w:rPr>
        <w:t>Washington, D.C. 20549</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10-K</w:t>
      </w:r>
    </w:p>
    <w:tbl>
      <w:tblPr>
        <w:tblW w:w="6537" w:type="dxa"/>
        <w:jc w:val="left"/>
        <w:tblInd w:w="0" w:type="dxa"/>
        <w:tblLayout w:type="fixed"/>
        <w:tblCellMar>
          <w:top w:w="28" w:type="dxa"/>
          <w:left w:w="28" w:type="dxa"/>
          <w:bottom w:w="28" w:type="dxa"/>
          <w:right w:w="28" w:type="dxa"/>
        </w:tblCellMar>
      </w:tblPr>
      <w:tblGrid>
        <w:gridCol w:w="124"/>
        <w:gridCol w:w="109"/>
        <w:gridCol w:w="109"/>
        <w:gridCol w:w="1809"/>
        <w:gridCol w:w="1809"/>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ANNUAL REPORT PURSUANT TO SECTION 13 OR 15(d) OF THE SECURITIES EXCHANGE ACT OF 1934</w:t>
            </w:r>
          </w:p>
        </w:tc>
      </w:tr>
      <w:tr>
        <w:trPr/>
        <w:tc>
          <w:tcPr>
            <w:tcW w:w="653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For the year ended December 31, 2025</w:t>
            </w:r>
          </w:p>
        </w:tc>
      </w:tr>
      <w:tr>
        <w:trPr/>
        <w:tc>
          <w:tcPr>
            <w:tcW w:w="65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TRANSITION REPORT PURSUANT TO SECTION 13 OR 15(d) OF THE SECURITIES EXCHANGE ACT OF 1934</w:t>
            </w:r>
          </w:p>
        </w:tc>
      </w:tr>
      <w:tr>
        <w:trPr/>
        <w:tc>
          <w:tcPr>
            <w:tcW w:w="65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For the transition period from     to    </w:t>
            </w:r>
          </w:p>
        </w:tc>
      </w:tr>
    </w:tbl>
    <w:p>
      <w:pPr>
        <w:pStyle w:val="TextBody"/>
        <w:bidi w:val="0"/>
        <w:spacing w:lineRule="auto" w:line="288" w:before="0" w:after="0"/>
        <w:jc w:val="center"/>
        <w:rPr/>
      </w:pPr>
      <w:r>
        <w:rPr>
          <w:rFonts w:ascii="Times New Roman;serif" w:hAnsi="Times New Roman;serif"/>
          <w:b/>
          <w:color w:val="000000"/>
          <w:sz w:val="16"/>
        </w:rPr>
        <w:t xml:space="preserve">Commission File Number </w:t>
      </w:r>
      <w:r>
        <w:rPr>
          <w:rFonts w:ascii="Times New Roman;serif" w:hAnsi="Times New Roman;serif"/>
          <w:b/>
          <w:color w:val="000000"/>
          <w:sz w:val="12"/>
        </w:rPr>
        <w:t>001-37372</w:t>
      </w:r>
    </w:p>
    <w:p>
      <w:pPr>
        <w:pStyle w:val="TextBody"/>
        <w:bidi w:val="0"/>
        <w:spacing w:before="0" w:after="0"/>
        <w:jc w:val="center"/>
        <w:rPr/>
      </w:pPr>
      <w:r>
        <w:rPr/>
        <w:drawing>
          <wp:inline distT="0" distB="0" distL="0" distR="0">
            <wp:extent cx="18097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Collegium Pharmaceutical, Inc.</w:t>
      </w:r>
    </w:p>
    <w:p>
      <w:pPr>
        <w:pStyle w:val="TextBody"/>
        <w:bidi w:val="0"/>
        <w:spacing w:lineRule="auto" w:line="288" w:before="0" w:after="120"/>
        <w:jc w:val="center"/>
        <w:rPr>
          <w:rFonts w:ascii="Times New Roman;serif" w:hAnsi="Times New Roman;serif"/>
          <w:b w:val="false"/>
          <w:color w:val="000000"/>
          <w:sz w:val="12"/>
        </w:rPr>
      </w:pPr>
      <w:r>
        <w:rPr>
          <w:rFonts w:ascii="Times New Roman;serif" w:hAnsi="Times New Roman;serif"/>
          <w:b w:val="false"/>
          <w:color w:val="000000"/>
          <w:sz w:val="12"/>
        </w:rPr>
        <w:t>(Exact name of registrant as specified in its charter)</w:t>
      </w:r>
    </w:p>
    <w:tbl>
      <w:tblPr>
        <w:tblW w:w="5190" w:type="dxa"/>
        <w:jc w:val="center"/>
        <w:tblInd w:w="0" w:type="dxa"/>
        <w:tblLayout w:type="fixed"/>
        <w:tblCellMar>
          <w:top w:w="28" w:type="dxa"/>
          <w:left w:w="28" w:type="dxa"/>
          <w:bottom w:w="28" w:type="dxa"/>
          <w:right w:w="28" w:type="dxa"/>
        </w:tblCellMar>
      </w:tblPr>
      <w:tblGrid>
        <w:gridCol w:w="1103"/>
        <w:gridCol w:w="967"/>
        <w:gridCol w:w="975"/>
        <w:gridCol w:w="627"/>
        <w:gridCol w:w="627"/>
        <w:gridCol w:w="891"/>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Virginia</w:t>
            </w:r>
          </w:p>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(State or other jurisdiction of incorporation or organization)</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03-0416362</w:t>
            </w:r>
          </w:p>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(I.R.S. Employer Identification Number)</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100 Technology Center Drive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Stoughton, MA</w:t>
            </w:r>
          </w:p>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(Address of principal executive offices)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02072</w:t>
            </w:r>
          </w:p>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(Zip Code)</w:t>
            </w:r>
          </w:p>
        </w:tc>
      </w:tr>
    </w:tbl>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(781) 713-3699</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(Registrant’s telephone number, including area code)</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Securities registered pursuant to Section 12(b) of the Act:</w:t>
      </w:r>
    </w:p>
    <w:tbl>
      <w:tblPr>
        <w:tblW w:w="4919" w:type="dxa"/>
        <w:jc w:val="center"/>
        <w:tblInd w:w="0" w:type="dxa"/>
        <w:tblLayout w:type="fixed"/>
        <w:tblCellMar>
          <w:top w:w="28" w:type="dxa"/>
          <w:left w:w="28" w:type="dxa"/>
          <w:bottom w:w="28" w:type="dxa"/>
          <w:right w:w="28" w:type="dxa"/>
        </w:tblCellMar>
      </w:tblPr>
      <w:tblGrid>
        <w:gridCol w:w="804"/>
        <w:gridCol w:w="708"/>
        <w:gridCol w:w="708"/>
        <w:gridCol w:w="244"/>
        <w:gridCol w:w="244"/>
        <w:gridCol w:w="246"/>
        <w:gridCol w:w="573"/>
        <w:gridCol w:w="573"/>
        <w:gridCol w:w="819"/>
      </w:tblGrid>
      <w:tr>
        <w:trPr/>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8"/>
              </w:rPr>
            </w:pPr>
            <w:r>
              <w:rPr>
                <w:rFonts w:ascii="Times New Roman;serif" w:hAnsi="Times New Roman;serif"/>
                <w:b/>
                <w:color w:val="000000"/>
                <w:sz w:val="8"/>
              </w:rPr>
              <w:t xml:space="preserve">Title of each class </w:t>
            </w:r>
          </w:p>
        </w:tc>
        <w:tc>
          <w:tcPr>
            <w:tcW w:w="7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8"/>
              </w:rPr>
            </w:pPr>
            <w:r>
              <w:rPr>
                <w:rFonts w:ascii="Times New Roman;serif" w:hAnsi="Times New Roman;serif"/>
                <w:b/>
                <w:color w:val="000000"/>
                <w:sz w:val="8"/>
              </w:rPr>
              <w:t>Trading Symbol(s)</w:t>
            </w:r>
          </w:p>
        </w:tc>
        <w:tc>
          <w:tcPr>
            <w:tcW w:w="196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color w:val="000000"/>
                <w:sz w:val="8"/>
              </w:rPr>
            </w:pPr>
            <w:r>
              <w:rPr>
                <w:rFonts w:ascii="Times New Roman;serif" w:hAnsi="Times New Roman;serif"/>
                <w:b/>
                <w:color w:val="000000"/>
                <w:sz w:val="8"/>
              </w:rPr>
              <w:t xml:space="preserve">Name of exchange on which registered: </w:t>
            </w:r>
          </w:p>
        </w:tc>
      </w:tr>
      <w:tr>
        <w:trPr/>
        <w:tc>
          <w:tcPr>
            <w:tcW w:w="222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2"/>
              </w:rPr>
            </w:pPr>
            <w:r>
              <w:rPr>
                <w:rFonts w:ascii="Times New Roman;serif" w:hAnsi="Times New Roman;serif"/>
                <w:b w:val="false"/>
                <w:color w:val="000000"/>
                <w:sz w:val="12"/>
              </w:rPr>
              <w:t>Common stock, par value $0.001 per share</w:t>
            </w:r>
          </w:p>
        </w:tc>
        <w:tc>
          <w:tcPr>
            <w:tcW w:w="73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2"/>
              </w:rPr>
            </w:pPr>
            <w:r>
              <w:rPr>
                <w:rFonts w:ascii="Times New Roman;serif" w:hAnsi="Times New Roman;serif"/>
                <w:b w:val="false"/>
                <w:color w:val="000000"/>
                <w:sz w:val="12"/>
              </w:rPr>
              <w:t>COLL</w:t>
            </w:r>
          </w:p>
        </w:tc>
        <w:tc>
          <w:tcPr>
            <w:tcW w:w="196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12"/>
              </w:rPr>
            </w:pPr>
            <w:r>
              <w:rPr>
                <w:rFonts w:ascii="Times New Roman;serif" w:hAnsi="Times New Roman;serif"/>
                <w:b w:val="false"/>
                <w:color w:val="000000"/>
                <w:sz w:val="12"/>
              </w:rPr>
              <w:t>The NASDAQ Global Select Market</w:t>
            </w:r>
          </w:p>
        </w:tc>
      </w:tr>
    </w:tbl>
    <w:p>
      <w:pPr>
        <w:pStyle w:val="TextBody"/>
        <w:bidi w:val="0"/>
        <w:spacing w:lineRule="auto" w:line="288" w:before="0" w:after="0"/>
        <w:jc w:val="center"/>
        <w:rPr/>
      </w:pPr>
      <w:r>
        <w:rPr>
          <w:rFonts w:ascii="Times New Roman;serif" w:hAnsi="Times New Roman;serif"/>
          <w:b w:val="false"/>
          <w:color w:val="000000"/>
          <w:sz w:val="12"/>
        </w:rPr>
        <w:t xml:space="preserve">Securities registered pursuant to Section 12(g) of the Act: </w:t>
      </w:r>
      <w:r>
        <w:rPr>
          <w:rFonts w:ascii="Times New Roman;serif" w:hAnsi="Times New Roman;serif"/>
          <w:b/>
          <w:color w:val="000000"/>
          <w:sz w:val="12"/>
        </w:rPr>
        <w:t>None</w:t>
      </w:r>
    </w:p>
    <w:p>
      <w:pPr>
        <w:pStyle w:val="TextBody"/>
        <w:bidi w:val="0"/>
        <w:spacing w:lineRule="auto" w:line="288" w:before="0" w:after="12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w:t>
      </w:r>
    </w:p>
    <w:p>
      <w:pPr>
        <w:pStyle w:val="TextBody"/>
        <w:bidi w:val="0"/>
        <w:spacing w:lineRule="auto" w:line="288" w:before="0" w:after="120"/>
        <w:jc w:val="left"/>
        <w:rPr/>
      </w:pPr>
      <w:r>
        <w:rPr>
          <w:rFonts w:ascii="Times New Roman;serif" w:hAnsi="Times New Roman;serif"/>
          <w:b w:val="false"/>
          <w:color w:val="000000"/>
          <w:sz w:val="12"/>
        </w:rPr>
        <w:t xml:space="preserve">Indicate by check mark if the registrant is a well-known seasoned issuer, as defined in Rule 405 of the Securities Act. Yes </w:t>
      </w:r>
      <w:r>
        <w:rPr>
          <w:rFonts w:ascii="Wingdings;sans-serif" w:hAnsi="Wingdings;sans-serif"/>
          <w:b w:val="false"/>
          <w:color w:val="000000"/>
          <w:sz w:val="12"/>
        </w:rPr>
        <w:t>x</w:t>
      </w:r>
      <w:r>
        <w:rPr>
          <w:color w:val="000000"/>
        </w:rPr>
        <w:t xml:space="preserve"> </w:t>
      </w:r>
      <w:r>
        <w:rPr>
          <w:rFonts w:ascii="Times New Roman;serif" w:hAnsi="Times New Roman;serif"/>
          <w:b w:val="false"/>
          <w:color w:val="000000"/>
          <w:sz w:val="12"/>
        </w:rPr>
        <w:t xml:space="preserve">No </w:t>
      </w:r>
      <w:r>
        <w:rPr>
          <w:rFonts w:ascii="Wingdings;sans-serif" w:hAnsi="Wingdings;sans-serif"/>
          <w:b w:val="false"/>
          <w:color w:val="000000"/>
          <w:sz w:val="12"/>
        </w:rPr>
        <w:t>o</w:t>
      </w:r>
    </w:p>
    <w:p>
      <w:pPr>
        <w:pStyle w:val="TextBody"/>
        <w:bidi w:val="0"/>
        <w:spacing w:lineRule="auto" w:line="288" w:before="0" w:after="120"/>
        <w:jc w:val="left"/>
        <w:rPr/>
      </w:pPr>
      <w:r>
        <w:rPr>
          <w:rFonts w:ascii="Times New Roman;serif" w:hAnsi="Times New Roman;serif"/>
          <w:b w:val="false"/>
          <w:color w:val="000000"/>
          <w:sz w:val="12"/>
        </w:rPr>
        <w:t xml:space="preserve">Indicate by check mark if the registrant is not required to file reports pursuant to Section 13 or Section 15(d) of the Act. Yes </w:t>
      </w:r>
      <w:r>
        <w:rPr>
          <w:rFonts w:ascii="Wingdings;sans-serif" w:hAnsi="Wingdings;sans-serif"/>
          <w:b w:val="false"/>
          <w:color w:val="000000"/>
          <w:sz w:val="12"/>
        </w:rPr>
        <w:t>o</w:t>
      </w:r>
      <w:r>
        <w:rPr>
          <w:color w:val="000000"/>
        </w:rPr>
        <w:t xml:space="preserve"> </w:t>
      </w:r>
      <w:r>
        <w:rPr>
          <w:rFonts w:ascii="Times New Roman;serif" w:hAnsi="Times New Roman;serif"/>
          <w:b w:val="false"/>
          <w:color w:val="000000"/>
          <w:sz w:val="12"/>
        </w:rPr>
        <w:t xml:space="preserve">No </w:t>
      </w:r>
      <w:r>
        <w:rPr>
          <w:rFonts w:ascii="Wingdings;sans-serif" w:hAnsi="Wingdings;sans-serif"/>
          <w:b w:val="false"/>
          <w:color w:val="000000"/>
          <w:sz w:val="12"/>
        </w:rPr>
        <w:t>x</w:t>
      </w:r>
    </w:p>
    <w:p>
      <w:pPr>
        <w:pStyle w:val="TextBody"/>
        <w:bidi w:val="0"/>
        <w:spacing w:lineRule="auto" w:line="288" w:before="0" w:after="120"/>
        <w:jc w:val="left"/>
        <w:rPr/>
      </w:pPr>
      <w:r>
        <w:rPr>
          <w:rFonts w:ascii="Times New Roman;serif" w:hAnsi="Times New Roman;serif"/>
          <w:b w:val="false"/>
          <w:color w:val="000000"/>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2"/>
        </w:rPr>
        <w:t>x</w:t>
      </w:r>
      <w:r>
        <w:rPr>
          <w:color w:val="000000"/>
        </w:rPr>
        <w:t xml:space="preserve"> </w:t>
      </w:r>
      <w:r>
        <w:rPr>
          <w:rFonts w:ascii="Times New Roman;serif" w:hAnsi="Times New Roman;serif"/>
          <w:b w:val="false"/>
          <w:color w:val="000000"/>
          <w:sz w:val="12"/>
        </w:rPr>
        <w:t xml:space="preserve">No </w:t>
      </w:r>
      <w:r>
        <w:rPr>
          <w:rFonts w:ascii="Wingdings;sans-serif" w:hAnsi="Wingdings;sans-serif"/>
          <w:b w:val="false"/>
          <w:color w:val="000000"/>
          <w:sz w:val="12"/>
        </w:rPr>
        <w:t>o</w:t>
      </w:r>
    </w:p>
    <w:p>
      <w:pPr>
        <w:pStyle w:val="TextBody"/>
        <w:bidi w:val="0"/>
        <w:spacing w:lineRule="auto" w:line="288" w:before="0" w:after="120"/>
        <w:jc w:val="left"/>
        <w:rPr/>
      </w:pPr>
      <w:r>
        <w:rPr>
          <w:rFonts w:ascii="Times New Roman;serif" w:hAnsi="Times New Roman;serif"/>
          <w:b w:val="false"/>
          <w:color w:val="000000"/>
          <w:sz w:val="12"/>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2"/>
        </w:rPr>
        <w:t>x</w:t>
      </w:r>
      <w:r>
        <w:rPr>
          <w:color w:val="000000"/>
        </w:rPr>
        <w:t xml:space="preserve"> </w:t>
      </w:r>
      <w:r>
        <w:rPr>
          <w:rFonts w:ascii="Times New Roman;serif" w:hAnsi="Times New Roman;serif"/>
          <w:b w:val="false"/>
          <w:color w:val="000000"/>
          <w:sz w:val="12"/>
        </w:rPr>
        <w:t xml:space="preserve">No </w:t>
      </w:r>
      <w:r>
        <w:rPr>
          <w:rFonts w:ascii="Wingdings;sans-serif" w:hAnsi="Wingdings;sans-serif"/>
          <w:b w:val="false"/>
          <w:color w:val="000000"/>
          <w:sz w:val="12"/>
        </w:rPr>
        <w:t>o</w:t>
      </w:r>
    </w:p>
    <w:p>
      <w:pPr>
        <w:pStyle w:val="TextBody"/>
        <w:bidi w:val="0"/>
        <w:spacing w:lineRule="auto" w:line="288" w:before="0" w:after="120"/>
        <w:jc w:val="left"/>
        <w:rPr>
          <w:rFonts w:ascii="Times New Roman;serif" w:hAnsi="Times New Roman;serif"/>
          <w:b w:val="false"/>
          <w:color w:val="000000"/>
          <w:sz w:val="12"/>
        </w:rPr>
      </w:pPr>
      <w:r>
        <w:rPr>
          <w:rFonts w:ascii="Times New Roman;serif" w:hAnsi="Times New Roman;serif"/>
          <w:b w:val="false"/>
          <w:color w:val="000000"/>
          <w:sz w:val="1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61"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319"/>
        <w:gridCol w:w="319"/>
        <w:gridCol w:w="321"/>
        <w:gridCol w:w="109"/>
        <w:gridCol w:w="109"/>
        <w:gridCol w:w="109"/>
        <w:gridCol w:w="489"/>
        <w:gridCol w:w="489"/>
        <w:gridCol w:w="491"/>
        <w:gridCol w:w="109"/>
        <w:gridCol w:w="109"/>
        <w:gridCol w:w="109"/>
        <w:gridCol w:w="479"/>
        <w:gridCol w:w="479"/>
        <w:gridCol w:w="482"/>
        <w:gridCol w:w="109"/>
        <w:gridCol w:w="109"/>
        <w:gridCol w:w="109"/>
        <w:gridCol w:w="479"/>
        <w:gridCol w:w="479"/>
        <w:gridCol w:w="481"/>
        <w:gridCol w:w="109"/>
        <w:gridCol w:w="109"/>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2"/>
              </w:rPr>
            </w:pPr>
            <w:r>
              <w:rPr>
                <w:rFonts w:ascii="Wingdings;sans-serif" w:hAnsi="Wingdings;sans-serif"/>
                <w:b w:val="false"/>
                <w:color w:val="000000"/>
                <w:sz w:val="12"/>
              </w:rPr>
              <w:t>x</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2"/>
              </w:rPr>
            </w:pPr>
            <w:r>
              <w:rPr>
                <w:rFonts w:ascii="Wingdings;sans-serif" w:hAnsi="Wingdings;sans-serif"/>
                <w:b w:val="false"/>
                <w:color w:val="000000"/>
                <w:sz w:val="12"/>
              </w:rPr>
              <w:t>o</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Non-accelerated filer</w:t>
              <w:br/>
              <w:t>(Do not check if</w:t>
              <w:b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2"/>
              </w:rPr>
            </w:pPr>
            <w:r>
              <w:rPr>
                <w:rFonts w:ascii="Wingdings;sans-serif" w:hAnsi="Wingdings;sans-serif"/>
                <w:b w:val="false"/>
                <w:color w:val="000000"/>
                <w:sz w:val="12"/>
              </w:rPr>
              <w:t>o</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2"/>
              </w:rPr>
            </w:pPr>
            <w:r>
              <w:rPr>
                <w:rFonts w:ascii="Wingdings;sans-serif" w:hAnsi="Wingdings;sans-serif"/>
                <w:b w:val="false"/>
                <w:color w:val="000000"/>
                <w:sz w:val="12"/>
              </w:rPr>
              <w:t>o</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2"/>
              </w:rPr>
            </w:pPr>
            <w:r>
              <w:rPr>
                <w:rFonts w:ascii="Wingdings;sans-serif" w:hAnsi="Wingdings;sans-serif"/>
                <w:b w:val="false"/>
                <w:color w:val="000000"/>
                <w:sz w:val="12"/>
              </w:rPr>
              <w:t>o</w:t>
            </w:r>
          </w:p>
        </w:tc>
      </w:tr>
    </w:tbl>
    <w:p>
      <w:pPr>
        <w:pStyle w:val="TextBody"/>
        <w:bidi w:val="0"/>
        <w:spacing w:lineRule="auto" w:line="288" w:before="0" w:after="120"/>
        <w:jc w:val="left"/>
        <w:rPr/>
      </w:pPr>
      <w:r>
        <w:rPr>
          <w:rFonts w:ascii="Times New Roman;serif" w:hAnsi="Times New Roman;serif"/>
          <w:b w:val="false"/>
          <w:color w:val="000000"/>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2"/>
        </w:rPr>
        <w:t>o</w:t>
      </w:r>
    </w:p>
    <w:p>
      <w:pPr>
        <w:pStyle w:val="TextBody"/>
        <w:bidi w:val="0"/>
        <w:spacing w:lineRule="auto" w:line="288" w:before="0" w:after="120"/>
        <w:jc w:val="left"/>
        <w:rPr/>
      </w:pPr>
      <w:r>
        <w:rPr>
          <w:rFonts w:ascii="Times New Roman;serif" w:hAnsi="Times New Roman;serif"/>
          <w:b w:val="false"/>
          <w:color w:val="000000"/>
          <w:sz w:val="1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2"/>
        </w:rPr>
        <w:t>x</w:t>
      </w:r>
    </w:p>
    <w:p>
      <w:pPr>
        <w:pStyle w:val="TextBody"/>
        <w:bidi w:val="0"/>
        <w:spacing w:lineRule="auto" w:line="288" w:before="0" w:after="120"/>
        <w:jc w:val="left"/>
        <w:rPr/>
      </w:pPr>
      <w:r>
        <w:rPr>
          <w:rFonts w:ascii="Times New Roman;serif" w:hAnsi="Times New Roman;serif"/>
          <w:b w:val="false"/>
          <w:color w:val="000000"/>
          <w:sz w:val="12"/>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2"/>
        </w:rPr>
        <w:t>o</w:t>
      </w:r>
    </w:p>
    <w:p>
      <w:pPr>
        <w:pStyle w:val="TextBody"/>
        <w:bidi w:val="0"/>
        <w:spacing w:lineRule="auto" w:line="288" w:before="0" w:after="120"/>
        <w:jc w:val="left"/>
        <w:rPr/>
      </w:pPr>
      <w:r>
        <w:rPr>
          <w:rFonts w:ascii="Times New Roman;serif" w:hAnsi="Times New Roman;serif"/>
          <w:b w:val="false"/>
          <w:color w:val="000000"/>
          <w:sz w:val="12"/>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2"/>
        </w:rPr>
        <w:t>o</w:t>
      </w:r>
    </w:p>
    <w:p>
      <w:pPr>
        <w:pStyle w:val="TextBody"/>
        <w:bidi w:val="0"/>
        <w:spacing w:lineRule="auto" w:line="288" w:before="0" w:after="120"/>
        <w:jc w:val="left"/>
        <w:rPr/>
      </w:pPr>
      <w:r>
        <w:rPr>
          <w:rFonts w:ascii="Times New Roman;serif" w:hAnsi="Times New Roman;serif"/>
          <w:b w:val="false"/>
          <w:color w:val="000000"/>
          <w:sz w:val="12"/>
        </w:rPr>
        <w:t xml:space="preserve">Indicate by checkmark whether the registrant is a shell company (as defined in Rule 12b-2 of the Act). Yes </w:t>
      </w:r>
      <w:r>
        <w:rPr>
          <w:rFonts w:ascii="Wingdings;sans-serif" w:hAnsi="Wingdings;sans-serif"/>
          <w:b w:val="false"/>
          <w:color w:val="000000"/>
          <w:sz w:val="12"/>
        </w:rPr>
        <w:t>o</w:t>
      </w:r>
      <w:r>
        <w:rPr>
          <w:color w:val="000000"/>
        </w:rPr>
        <w:t xml:space="preserve"> </w:t>
      </w:r>
      <w:r>
        <w:rPr>
          <w:rFonts w:ascii="Times New Roman;serif" w:hAnsi="Times New Roman;serif"/>
          <w:b w:val="false"/>
          <w:color w:val="000000"/>
          <w:sz w:val="12"/>
        </w:rPr>
        <w:t xml:space="preserve">No </w:t>
      </w:r>
      <w:r>
        <w:rPr>
          <w:rFonts w:ascii="Wingdings;sans-serif" w:hAnsi="Wingdings;sans-serif"/>
          <w:b w:val="false"/>
          <w:color w:val="000000"/>
          <w:sz w:val="12"/>
        </w:rPr>
        <w:t>x</w:t>
      </w:r>
    </w:p>
    <w:p>
      <w:pPr>
        <w:pStyle w:val="TextBody"/>
        <w:bidi w:val="0"/>
        <w:spacing w:lineRule="auto" w:line="288" w:before="0" w:after="120"/>
        <w:jc w:val="left"/>
        <w:rPr>
          <w:rFonts w:ascii="Times New Roman;serif" w:hAnsi="Times New Roman;serif"/>
          <w:b w:val="false"/>
          <w:color w:val="000000"/>
          <w:sz w:val="12"/>
        </w:rPr>
      </w:pPr>
      <w:r>
        <w:rPr>
          <w:rFonts w:ascii="Times New Roman;serif" w:hAnsi="Times New Roman;serif"/>
          <w:b w:val="false"/>
          <w:color w:val="000000"/>
          <w:sz w:val="12"/>
        </w:rPr>
        <w:t xml:space="preserve">As of June 30, 2025, the last business day of the registrant’s most recently completed second fiscal quarter, the aggregate market value of the registrant’s common stock held by non-affiliates of the registrant was approximately $926.4 million, based on the closing price of the registrant’s common stock on The NASDAQ Global Select Market on June 30, 2025 of $29.57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 </w:t>
      </w:r>
    </w:p>
    <w:p>
      <w:pPr>
        <w:pStyle w:val="TextBody"/>
        <w:bidi w:val="0"/>
        <w:spacing w:lineRule="auto" w:line="288" w:before="0" w:after="120"/>
        <w:jc w:val="left"/>
        <w:rPr>
          <w:rFonts w:ascii="Times New Roman;serif" w:hAnsi="Times New Roman;serif"/>
          <w:b w:val="false"/>
          <w:color w:val="000000"/>
          <w:sz w:val="12"/>
        </w:rPr>
      </w:pPr>
      <w:r>
        <w:rPr>
          <w:rFonts w:ascii="Times New Roman;serif" w:hAnsi="Times New Roman;serif"/>
          <w:b w:val="false"/>
          <w:color w:val="000000"/>
          <w:sz w:val="12"/>
        </w:rPr>
        <w:t xml:space="preserve">As of January 31, 2026, there were 31,753,211 shares of the registrant's common stock, par value, $0.001 per share, outstanding. </w:t>
      </w:r>
    </w:p>
    <w:p>
      <w:pPr>
        <w:pStyle w:val="TextBody"/>
        <w:bidi w:val="0"/>
        <w:spacing w:lineRule="auto" w:line="288" w:before="0" w:after="120"/>
        <w:jc w:val="center"/>
        <w:rPr>
          <w:rFonts w:ascii="Times New Roman;serif" w:hAnsi="Times New Roman;serif"/>
          <w:b/>
          <w:color w:val="000000"/>
          <w:sz w:val="12"/>
        </w:rPr>
      </w:pPr>
      <w:r>
        <w:rPr>
          <w:rFonts w:ascii="Times New Roman;serif" w:hAnsi="Times New Roman;serif"/>
          <w:b/>
          <w:color w:val="000000"/>
          <w:sz w:val="12"/>
        </w:rPr>
        <w:t xml:space="preserve">DOCUMENTS INCORPORATED BY REFERENCE </w:t>
      </w:r>
    </w:p>
    <w:p>
      <w:pPr>
        <w:pStyle w:val="TextBody"/>
        <w:bidi w:val="0"/>
        <w:spacing w:lineRule="auto" w:line="288" w:before="0" w:after="120"/>
        <w:jc w:val="left"/>
        <w:rPr>
          <w:rFonts w:ascii="Times New Roman;serif" w:hAnsi="Times New Roman;serif"/>
          <w:b w:val="false"/>
          <w:color w:val="000000"/>
          <w:sz w:val="12"/>
        </w:rPr>
      </w:pPr>
      <w:r>
        <w:rPr>
          <w:rFonts w:ascii="Times New Roman;serif" w:hAnsi="Times New Roman;serif"/>
          <w:b w:val="false"/>
          <w:color w:val="000000"/>
          <w:sz w:val="12"/>
        </w:rPr>
        <w:t xml:space="preserve">Portions of the registrant's definitive proxy statement for its 2026 Annual Meeting of Shareholders (the "Proxy Statement"), to be filed within 120 days of the registrant's year ended December 31, 2025, are incorporated by reference in Part II and Part III of this Report on Form 10-K. Except with respect to information specifically incorporated by reference in this Form 10-K, the Proxy Statement is not deemed to be filed as part of this Form 10-K.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72"/>
        <w:gridCol w:w="415"/>
        <w:gridCol w:w="419"/>
        <w:gridCol w:w="2732"/>
        <w:gridCol w:w="2693"/>
        <w:gridCol w:w="2701"/>
        <w:gridCol w:w="224"/>
        <w:gridCol w:w="224"/>
        <w:gridCol w:w="32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3">
              <w:r>
                <w:rPr>
                  <w:rStyle w:val="InternetLink"/>
                  <w:rFonts w:ascii="Times New Roman;serif" w:hAnsi="Times New Roman;serif"/>
                  <w:b w:val="false"/>
                  <w:color w:val="0000FF"/>
                  <w:sz w:val="20"/>
                  <w:u w:val="single"/>
                </w:rPr>
                <w:t>PART I</w:t>
              </w:r>
            </w:hyperlink>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6">
              <w:r>
                <w:rPr>
                  <w:rStyle w:val="InternetLink"/>
                  <w:rFonts w:ascii="Times New Roman;serif" w:hAnsi="Times New Roman;serif"/>
                  <w:b w:val="false"/>
                  <w:color w:val="0000FF"/>
                  <w:sz w:val="20"/>
                  <w:u w:val="single"/>
                </w:rPr>
                <w:t>Item 1.</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6">
              <w:r>
                <w:rPr>
                  <w:rStyle w:val="InternetLink"/>
                  <w:rFonts w:ascii="Times New Roman;serif" w:hAnsi="Times New Roman;serif"/>
                  <w:b w:val="false"/>
                  <w:color w:val="0000FF"/>
                  <w:sz w:val="20"/>
                  <w:u w:val="single"/>
                </w:rPr>
                <w:t>Business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6">
              <w:r>
                <w:rPr>
                  <w:rStyle w:val="InternetLink"/>
                  <w:rFonts w:ascii="Times New Roman;serif" w:hAnsi="Times New Roman;serif"/>
                  <w:b w:val="false"/>
                  <w:strike w:val="false"/>
                  <w:dstrike w:val="false"/>
                  <w:color w:val="000000"/>
                  <w:sz w:val="20"/>
                  <w:u w:val="none"/>
                  <w:effect w:val="none"/>
                </w:rPr>
                <w:t>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9">
              <w:r>
                <w:rPr>
                  <w:rStyle w:val="InternetLink"/>
                  <w:rFonts w:ascii="Times New Roman;serif" w:hAnsi="Times New Roman;serif"/>
                  <w:b w:val="false"/>
                  <w:color w:val="0000FF"/>
                  <w:sz w:val="20"/>
                  <w:u w:val="single"/>
                </w:rPr>
                <w:t>Item 1A.</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9">
              <w:r>
                <w:rPr>
                  <w:rStyle w:val="InternetLink"/>
                  <w:rFonts w:ascii="Times New Roman;serif" w:hAnsi="Times New Roman;serif"/>
                  <w:b w:val="false"/>
                  <w:color w:val="0000FF"/>
                  <w:sz w:val="20"/>
                  <w:u w:val="single"/>
                </w:rPr>
                <w:t>Risk Factors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9">
              <w:r>
                <w:rPr>
                  <w:rStyle w:val="InternetLink"/>
                  <w:rFonts w:ascii="Times New Roman;serif" w:hAnsi="Times New Roman;serif"/>
                  <w:b w:val="false"/>
                  <w:strike w:val="false"/>
                  <w:dstrike w:val="false"/>
                  <w:color w:val="000000"/>
                  <w:sz w:val="20"/>
                  <w:u w:val="none"/>
                  <w:effect w:val="none"/>
                </w:rPr>
                <w:t>22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22">
              <w:r>
                <w:rPr>
                  <w:rStyle w:val="InternetLink"/>
                  <w:rFonts w:ascii="Times New Roman;serif" w:hAnsi="Times New Roman;serif"/>
                  <w:b w:val="false"/>
                  <w:color w:val="0000FF"/>
                  <w:sz w:val="20"/>
                  <w:u w:val="single"/>
                </w:rPr>
                <w:t>Item 1B.</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22">
              <w:r>
                <w:rPr>
                  <w:rStyle w:val="InternetLink"/>
                  <w:rFonts w:ascii="Times New Roman;serif" w:hAnsi="Times New Roman;serif"/>
                  <w:b w:val="false"/>
                  <w:color w:val="0000FF"/>
                  <w:sz w:val="20"/>
                  <w:u w:val="single"/>
                </w:rPr>
                <w:t>Unresolved Staff Comments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22">
              <w:r>
                <w:rPr>
                  <w:rStyle w:val="InternetLink"/>
                  <w:rFonts w:ascii="Times New Roman;serif" w:hAnsi="Times New Roman;serif"/>
                  <w:b w:val="false"/>
                  <w:strike w:val="false"/>
                  <w:dstrike w:val="false"/>
                  <w:color w:val="000000"/>
                  <w:sz w:val="20"/>
                  <w:u w:val="none"/>
                  <w:effect w:val="none"/>
                </w:rPr>
                <w:t>42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25">
              <w:r>
                <w:rPr>
                  <w:rStyle w:val="InternetLink"/>
                  <w:rFonts w:ascii="Times New Roman;serif" w:hAnsi="Times New Roman;serif"/>
                  <w:b w:val="false"/>
                  <w:color w:val="0000FF"/>
                  <w:sz w:val="20"/>
                  <w:u w:val="single"/>
                </w:rPr>
                <w:t>Item 1C.</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25">
              <w:r>
                <w:rPr>
                  <w:rStyle w:val="InternetLink"/>
                  <w:rFonts w:ascii="Times New Roman;serif" w:hAnsi="Times New Roman;serif"/>
                  <w:b w:val="false"/>
                  <w:color w:val="0000FF"/>
                  <w:sz w:val="20"/>
                  <w:u w:val="single"/>
                </w:rPr>
                <w:t>Cybersecurity</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25">
              <w:r>
                <w:rPr>
                  <w:rStyle w:val="InternetLink"/>
                  <w:rFonts w:ascii="Times New Roman;serif" w:hAnsi="Times New Roman;serif"/>
                  <w:b w:val="false"/>
                  <w:strike w:val="false"/>
                  <w:dstrike w:val="false"/>
                  <w:color w:val="000000"/>
                  <w:sz w:val="20"/>
                  <w:u w:val="none"/>
                  <w:effect w:val="none"/>
                </w:rPr>
                <w:t>42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28">
              <w:r>
                <w:rPr>
                  <w:rStyle w:val="InternetLink"/>
                  <w:rFonts w:ascii="Times New Roman;serif" w:hAnsi="Times New Roman;serif"/>
                  <w:b w:val="false"/>
                  <w:color w:val="0000FF"/>
                  <w:sz w:val="20"/>
                  <w:u w:val="single"/>
                </w:rPr>
                <w:t>Item 2.</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28">
              <w:r>
                <w:rPr>
                  <w:rStyle w:val="InternetLink"/>
                  <w:rFonts w:ascii="Times New Roman;serif" w:hAnsi="Times New Roman;serif"/>
                  <w:b w:val="false"/>
                  <w:color w:val="0000FF"/>
                  <w:sz w:val="20"/>
                  <w:u w:val="single"/>
                </w:rPr>
                <w:t>Properties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28">
              <w:r>
                <w:rPr>
                  <w:rStyle w:val="InternetLink"/>
                  <w:rFonts w:ascii="Times New Roman;serif" w:hAnsi="Times New Roman;serif"/>
                  <w:b w:val="false"/>
                  <w:strike w:val="false"/>
                  <w:dstrike w:val="false"/>
                  <w:color w:val="000000"/>
                  <w:sz w:val="20"/>
                  <w:u w:val="none"/>
                  <w:effect w:val="none"/>
                </w:rPr>
                <w:t>43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31">
              <w:r>
                <w:rPr>
                  <w:rStyle w:val="InternetLink"/>
                  <w:rFonts w:ascii="Times New Roman;serif" w:hAnsi="Times New Roman;serif"/>
                  <w:b w:val="false"/>
                  <w:color w:val="0000FF"/>
                  <w:sz w:val="20"/>
                  <w:u w:val="single"/>
                </w:rPr>
                <w:t>Item 3.</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31">
              <w:r>
                <w:rPr>
                  <w:rStyle w:val="InternetLink"/>
                  <w:rFonts w:ascii="Times New Roman;serif" w:hAnsi="Times New Roman;serif"/>
                  <w:b w:val="false"/>
                  <w:color w:val="0000FF"/>
                  <w:sz w:val="20"/>
                  <w:u w:val="single"/>
                </w:rPr>
                <w:t>Legal Proceedings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31">
              <w:r>
                <w:rPr>
                  <w:rStyle w:val="InternetLink"/>
                  <w:rFonts w:ascii="Times New Roman;serif" w:hAnsi="Times New Roman;serif"/>
                  <w:b w:val="false"/>
                  <w:strike w:val="false"/>
                  <w:dstrike w:val="false"/>
                  <w:color w:val="000000"/>
                  <w:sz w:val="20"/>
                  <w:u w:val="none"/>
                  <w:effect w:val="none"/>
                </w:rPr>
                <w:t>43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34">
              <w:r>
                <w:rPr>
                  <w:rStyle w:val="InternetLink"/>
                  <w:rFonts w:ascii="Times New Roman;serif" w:hAnsi="Times New Roman;serif"/>
                  <w:b w:val="false"/>
                  <w:color w:val="0000FF"/>
                  <w:sz w:val="20"/>
                  <w:u w:val="single"/>
                </w:rPr>
                <w:t>Item 4.</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34">
              <w:r>
                <w:rPr>
                  <w:rStyle w:val="InternetLink"/>
                  <w:rFonts w:ascii="Times New Roman;serif" w:hAnsi="Times New Roman;serif"/>
                  <w:b w:val="false"/>
                  <w:color w:val="0000FF"/>
                  <w:sz w:val="20"/>
                  <w:u w:val="single"/>
                </w:rPr>
                <w:t>Mine Safety Disclosures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34">
              <w:r>
                <w:rPr>
                  <w:rStyle w:val="InternetLink"/>
                  <w:rFonts w:ascii="Times New Roman;serif" w:hAnsi="Times New Roman;serif"/>
                  <w:b w:val="false"/>
                  <w:strike w:val="false"/>
                  <w:dstrike w:val="false"/>
                  <w:color w:val="000000"/>
                  <w:sz w:val="20"/>
                  <w:u w:val="none"/>
                  <w:effect w:val="none"/>
                </w:rPr>
                <w:t>43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37">
              <w:r>
                <w:rPr>
                  <w:rStyle w:val="InternetLink"/>
                  <w:rFonts w:ascii="Times New Roman;serif" w:hAnsi="Times New Roman;serif"/>
                  <w:b w:val="false"/>
                  <w:color w:val="0000FF"/>
                  <w:sz w:val="20"/>
                  <w:u w:val="single"/>
                </w:rPr>
                <w:t>PART II</w:t>
              </w:r>
            </w:hyperlink>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40">
              <w:r>
                <w:rPr>
                  <w:rStyle w:val="InternetLink"/>
                  <w:rFonts w:ascii="Times New Roman;serif" w:hAnsi="Times New Roman;serif"/>
                  <w:b w:val="false"/>
                  <w:color w:val="0000FF"/>
                  <w:sz w:val="20"/>
                  <w:u w:val="single"/>
                </w:rPr>
                <w:t>Item 5.</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40">
              <w:r>
                <w:rPr>
                  <w:rStyle w:val="InternetLink"/>
                  <w:rFonts w:ascii="Times New Roman;serif" w:hAnsi="Times New Roman;serif"/>
                  <w:b w:val="false"/>
                  <w:strike w:val="false"/>
                  <w:dstrike w:val="false"/>
                  <w:color w:val="000000"/>
                  <w:sz w:val="20"/>
                  <w:u w:val="none"/>
                  <w:effect w:val="none"/>
                </w:rPr>
                <w:t>43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43">
              <w:r>
                <w:rPr>
                  <w:rStyle w:val="InternetLink"/>
                  <w:rFonts w:ascii="Times New Roman;serif" w:hAnsi="Times New Roman;serif"/>
                  <w:b w:val="false"/>
                  <w:color w:val="0000FF"/>
                  <w:sz w:val="20"/>
                  <w:u w:val="single"/>
                </w:rPr>
                <w:t>Item 6.</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43">
              <w:r>
                <w:rPr>
                  <w:rStyle w:val="InternetLink"/>
                  <w:rFonts w:ascii="Times New Roman;serif" w:hAnsi="Times New Roman;serif"/>
                  <w:b w:val="false"/>
                  <w:color w:val="0000FF"/>
                  <w:sz w:val="20"/>
                  <w:u w:val="single"/>
                </w:rPr>
                <w:t>[Reserved]</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43">
              <w:r>
                <w:rPr>
                  <w:rStyle w:val="InternetLink"/>
                  <w:rFonts w:ascii="Times New Roman;serif" w:hAnsi="Times New Roman;serif"/>
                  <w:b w:val="false"/>
                  <w:strike w:val="false"/>
                  <w:dstrike w:val="false"/>
                  <w:color w:val="000000"/>
                  <w:sz w:val="20"/>
                  <w:u w:val="none"/>
                  <w:effect w:val="none"/>
                </w:rPr>
                <w:t>45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46">
              <w:r>
                <w:rPr>
                  <w:rStyle w:val="InternetLink"/>
                  <w:rFonts w:ascii="Times New Roman;serif" w:hAnsi="Times New Roman;serif"/>
                  <w:b w:val="false"/>
                  <w:color w:val="0000FF"/>
                  <w:sz w:val="20"/>
                  <w:u w:val="single"/>
                </w:rPr>
                <w:t>Item 7.</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46">
              <w:r>
                <w:rPr>
                  <w:rStyle w:val="InternetLink"/>
                  <w:rFonts w:ascii="Times New Roman;serif" w:hAnsi="Times New Roman;serif"/>
                  <w:b w:val="false"/>
                  <w:strike w:val="false"/>
                  <w:dstrike w:val="false"/>
                  <w:color w:val="000000"/>
                  <w:sz w:val="20"/>
                  <w:u w:val="none"/>
                  <w:effect w:val="none"/>
                </w:rPr>
                <w:t>45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76">
              <w:r>
                <w:rPr>
                  <w:rStyle w:val="InternetLink"/>
                  <w:rFonts w:ascii="Times New Roman;serif" w:hAnsi="Times New Roman;serif"/>
                  <w:b w:val="false"/>
                  <w:color w:val="0000FF"/>
                  <w:sz w:val="20"/>
                  <w:u w:val="single"/>
                </w:rPr>
                <w:t>Item 7A.</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76">
              <w:r>
                <w:rPr>
                  <w:rStyle w:val="InternetLink"/>
                  <w:rFonts w:ascii="Times New Roman;serif" w:hAnsi="Times New Roman;serif"/>
                  <w:b w:val="false"/>
                  <w:color w:val="0000FF"/>
                  <w:sz w:val="20"/>
                  <w:u w:val="single"/>
                </w:rPr>
                <w:t>Quantitative and Qualitative Disclosures about Market Risk</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76">
              <w:r>
                <w:rPr>
                  <w:rStyle w:val="InternetLink"/>
                  <w:rFonts w:ascii="Times New Roman;serif" w:hAnsi="Times New Roman;serif"/>
                  <w:b w:val="false"/>
                  <w:strike w:val="false"/>
                  <w:dstrike w:val="false"/>
                  <w:color w:val="000000"/>
                  <w:sz w:val="20"/>
                  <w:u w:val="none"/>
                  <w:effect w:val="none"/>
                </w:rPr>
                <w:t>58</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79">
              <w:r>
                <w:rPr>
                  <w:rStyle w:val="InternetLink"/>
                  <w:rFonts w:ascii="Times New Roman;serif" w:hAnsi="Times New Roman;serif"/>
                  <w:b w:val="false"/>
                  <w:color w:val="0000FF"/>
                  <w:sz w:val="20"/>
                  <w:u w:val="single"/>
                </w:rPr>
                <w:t>Item 8.</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79">
              <w:r>
                <w:rPr>
                  <w:rStyle w:val="InternetLink"/>
                  <w:rFonts w:ascii="Times New Roman;serif" w:hAnsi="Times New Roman;serif"/>
                  <w:b w:val="false"/>
                  <w:color w:val="0000FF"/>
                  <w:sz w:val="20"/>
                  <w:u w:val="single"/>
                </w:rPr>
                <w:t>Consolidated Financial Statements and Supplementary Data</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79">
              <w:r>
                <w:rPr>
                  <w:rStyle w:val="InternetLink"/>
                  <w:rFonts w:ascii="Times New Roman;serif" w:hAnsi="Times New Roman;serif"/>
                  <w:b w:val="false"/>
                  <w:strike w:val="false"/>
                  <w:dstrike w:val="false"/>
                  <w:color w:val="000000"/>
                  <w:sz w:val="20"/>
                  <w:u w:val="none"/>
                  <w:effect w:val="non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82">
              <w:r>
                <w:rPr>
                  <w:rStyle w:val="InternetLink"/>
                  <w:rFonts w:ascii="Times New Roman;serif" w:hAnsi="Times New Roman;serif"/>
                  <w:b w:val="false"/>
                  <w:color w:val="0000FF"/>
                  <w:sz w:val="20"/>
                  <w:u w:val="single"/>
                </w:rPr>
                <w:t>Item 9.</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8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82">
              <w:r>
                <w:rPr>
                  <w:rStyle w:val="InternetLink"/>
                  <w:rFonts w:ascii="Times New Roman;serif" w:hAnsi="Times New Roman;serif"/>
                  <w:b w:val="false"/>
                  <w:strike w:val="false"/>
                  <w:dstrike w:val="false"/>
                  <w:color w:val="000000"/>
                  <w:sz w:val="20"/>
                  <w:u w:val="none"/>
                  <w:effect w:val="non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85">
              <w:r>
                <w:rPr>
                  <w:rStyle w:val="InternetLink"/>
                  <w:rFonts w:ascii="Times New Roman;serif" w:hAnsi="Times New Roman;serif"/>
                  <w:b w:val="false"/>
                  <w:color w:val="0000FF"/>
                  <w:sz w:val="20"/>
                  <w:u w:val="single"/>
                </w:rPr>
                <w:t>Item 9A.</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85">
              <w:r>
                <w:rPr>
                  <w:rStyle w:val="InternetLink"/>
                  <w:rFonts w:ascii="Times New Roman;serif" w:hAnsi="Times New Roman;serif"/>
                  <w:b w:val="false"/>
                  <w:color w:val="0000FF"/>
                  <w:sz w:val="20"/>
                  <w:u w:val="single"/>
                </w:rPr>
                <w:t>Controls and Procedures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85">
              <w:r>
                <w:rPr>
                  <w:rStyle w:val="InternetLink"/>
                  <w:rFonts w:ascii="Times New Roman;serif" w:hAnsi="Times New Roman;serif"/>
                  <w:b w:val="false"/>
                  <w:strike w:val="false"/>
                  <w:dstrike w:val="false"/>
                  <w:color w:val="000000"/>
                  <w:sz w:val="20"/>
                  <w:u w:val="none"/>
                  <w:effect w:val="non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88">
              <w:r>
                <w:rPr>
                  <w:rStyle w:val="InternetLink"/>
                  <w:rFonts w:ascii="Times New Roman;serif" w:hAnsi="Times New Roman;serif"/>
                  <w:b w:val="false"/>
                  <w:color w:val="0000FF"/>
                  <w:sz w:val="20"/>
                  <w:u w:val="single"/>
                </w:rPr>
                <w:t>Item 9B.</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88">
              <w:r>
                <w:rPr>
                  <w:rStyle w:val="InternetLink"/>
                  <w:rFonts w:ascii="Times New Roman;serif" w:hAnsi="Times New Roman;serif"/>
                  <w:b w:val="false"/>
                  <w:color w:val="0000FF"/>
                  <w:sz w:val="20"/>
                  <w:u w:val="single"/>
                </w:rPr>
                <w:t>Other Information</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88">
              <w:r>
                <w:rPr>
                  <w:rStyle w:val="InternetLink"/>
                  <w:rFonts w:ascii="Times New Roman;serif" w:hAnsi="Times New Roman;serif"/>
                  <w:b w:val="false"/>
                  <w:strike w:val="false"/>
                  <w:dstrike w:val="false"/>
                  <w:color w:val="000000"/>
                  <w:sz w:val="20"/>
                  <w:u w:val="none"/>
                  <w:effect w:val="none"/>
                </w:rPr>
                <w:t>62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91">
              <w:r>
                <w:rPr>
                  <w:rStyle w:val="InternetLink"/>
                  <w:rFonts w:ascii="Times New Roman;serif" w:hAnsi="Times New Roman;serif"/>
                  <w:b w:val="false"/>
                  <w:color w:val="0000FF"/>
                  <w:sz w:val="20"/>
                  <w:u w:val="single"/>
                </w:rPr>
                <w:t>Item 9C.</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91">
              <w:r>
                <w:rPr>
                  <w:rStyle w:val="InternetLink"/>
                  <w:rFonts w:ascii="Times New Roman;serif" w:hAnsi="Times New Roman;serif"/>
                  <w:b w:val="false"/>
                  <w:color w:val="0000FF"/>
                  <w:sz w:val="20"/>
                  <w:u w:val="single"/>
                </w:rPr>
                <w:t>Disclosure Regarding Foreign Jurisdictions that Prevent Inspections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91">
              <w:r>
                <w:rPr>
                  <w:rStyle w:val="InternetLink"/>
                  <w:rFonts w:ascii="Times New Roman;serif" w:hAnsi="Times New Roman;serif"/>
                  <w:b w:val="false"/>
                  <w:strike w:val="false"/>
                  <w:dstrike w:val="false"/>
                  <w:color w:val="000000"/>
                  <w:sz w:val="20"/>
                  <w:u w:val="none"/>
                  <w:effect w:val="none"/>
                </w:rPr>
                <w:t>62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94">
              <w:r>
                <w:rPr>
                  <w:rStyle w:val="InternetLink"/>
                  <w:rFonts w:ascii="Times New Roman;serif" w:hAnsi="Times New Roman;serif"/>
                  <w:b w:val="false"/>
                  <w:color w:val="0000FF"/>
                  <w:sz w:val="20"/>
                  <w:u w:val="single"/>
                </w:rPr>
                <w:t>PART III</w:t>
              </w:r>
            </w:hyperlink>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97">
              <w:r>
                <w:rPr>
                  <w:rStyle w:val="InternetLink"/>
                  <w:rFonts w:ascii="Times New Roman;serif" w:hAnsi="Times New Roman;serif"/>
                  <w:b w:val="false"/>
                  <w:color w:val="0000FF"/>
                  <w:sz w:val="20"/>
                  <w:u w:val="single"/>
                </w:rPr>
                <w:t>Item 10.</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97">
              <w:r>
                <w:rPr>
                  <w:rStyle w:val="InternetLink"/>
                  <w:rFonts w:ascii="Times New Roman;serif" w:hAnsi="Times New Roman;serif"/>
                  <w:b w:val="false"/>
                  <w:color w:val="0000FF"/>
                  <w:sz w:val="20"/>
                  <w:u w:val="single"/>
                </w:rPr>
                <w:t>Directors, Executive Officers and Corporate Governance</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97">
              <w:r>
                <w:rPr>
                  <w:rStyle w:val="InternetLink"/>
                  <w:rFonts w:ascii="Times New Roman;serif" w:hAnsi="Times New Roman;serif"/>
                  <w:b w:val="false"/>
                  <w:strike w:val="false"/>
                  <w:dstrike w:val="false"/>
                  <w:color w:val="000000"/>
                  <w:sz w:val="20"/>
                  <w:u w:val="none"/>
                  <w:effect w:val="none"/>
                </w:rPr>
                <w:t>62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0">
              <w:r>
                <w:rPr>
                  <w:rStyle w:val="InternetLink"/>
                  <w:rFonts w:ascii="Times New Roman;serif" w:hAnsi="Times New Roman;serif"/>
                  <w:b w:val="false"/>
                  <w:color w:val="0000FF"/>
                  <w:sz w:val="20"/>
                  <w:u w:val="single"/>
                </w:rPr>
                <w:t>Item 11.</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0">
              <w:r>
                <w:rPr>
                  <w:rStyle w:val="InternetLink"/>
                  <w:rFonts w:ascii="Times New Roman;serif" w:hAnsi="Times New Roman;serif"/>
                  <w:b w:val="false"/>
                  <w:color w:val="0000FF"/>
                  <w:sz w:val="20"/>
                  <w:u w:val="single"/>
                </w:rPr>
                <w:t>Executive Compensation</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00">
              <w:r>
                <w:rPr>
                  <w:rStyle w:val="InternetLink"/>
                  <w:rFonts w:ascii="Times New Roman;serif" w:hAnsi="Times New Roman;serif"/>
                  <w:b w:val="false"/>
                  <w:strike w:val="false"/>
                  <w:dstrike w:val="false"/>
                  <w:color w:val="000000"/>
                  <w:sz w:val="20"/>
                  <w:u w:val="none"/>
                  <w:effect w:val="none"/>
                </w:rPr>
                <w:t>63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3">
              <w:r>
                <w:rPr>
                  <w:rStyle w:val="InternetLink"/>
                  <w:rFonts w:ascii="Times New Roman;serif" w:hAnsi="Times New Roman;serif"/>
                  <w:b w:val="false"/>
                  <w:color w:val="0000FF"/>
                  <w:sz w:val="20"/>
                  <w:u w:val="single"/>
                </w:rPr>
                <w:t>Item 12.</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03">
              <w:r>
                <w:rPr>
                  <w:rStyle w:val="InternetLink"/>
                  <w:rFonts w:ascii="Times New Roman;serif" w:hAnsi="Times New Roman;serif"/>
                  <w:b w:val="false"/>
                  <w:strike w:val="false"/>
                  <w:dstrike w:val="false"/>
                  <w:color w:val="000000"/>
                  <w:sz w:val="20"/>
                  <w:u w:val="none"/>
                  <w:effect w:val="none"/>
                </w:rPr>
                <w:t>63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6">
              <w:r>
                <w:rPr>
                  <w:rStyle w:val="InternetLink"/>
                  <w:rFonts w:ascii="Times New Roman;serif" w:hAnsi="Times New Roman;serif"/>
                  <w:b w:val="false"/>
                  <w:color w:val="0000FF"/>
                  <w:sz w:val="20"/>
                  <w:u w:val="single"/>
                </w:rPr>
                <w:t>Item 13.</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6">
              <w:r>
                <w:rPr>
                  <w:rStyle w:val="InternetLink"/>
                  <w:rFonts w:ascii="Times New Roman;serif" w:hAnsi="Times New Roman;serif"/>
                  <w:b w:val="false"/>
                  <w:color w:val="0000FF"/>
                  <w:sz w:val="20"/>
                  <w:u w:val="single"/>
                </w:rPr>
                <w:t>Certain Relationships and Related Transactions, and Director Independence</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06">
              <w:r>
                <w:rPr>
                  <w:rStyle w:val="InternetLink"/>
                  <w:rFonts w:ascii="Times New Roman;serif" w:hAnsi="Times New Roman;serif"/>
                  <w:b w:val="false"/>
                  <w:strike w:val="false"/>
                  <w:dstrike w:val="false"/>
                  <w:color w:val="000000"/>
                  <w:sz w:val="20"/>
                  <w:u w:val="none"/>
                  <w:effect w:val="none"/>
                </w:rPr>
                <w:t>63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9">
              <w:r>
                <w:rPr>
                  <w:rStyle w:val="InternetLink"/>
                  <w:rFonts w:ascii="Times New Roman;serif" w:hAnsi="Times New Roman;serif"/>
                  <w:b w:val="false"/>
                  <w:color w:val="0000FF"/>
                  <w:sz w:val="20"/>
                  <w:u w:val="single"/>
                </w:rPr>
                <w:t>Item 14.</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09">
              <w:r>
                <w:rPr>
                  <w:rStyle w:val="InternetLink"/>
                  <w:rFonts w:ascii="Times New Roman;serif" w:hAnsi="Times New Roman;serif"/>
                  <w:b w:val="false"/>
                  <w:color w:val="0000FF"/>
                  <w:sz w:val="20"/>
                  <w:u w:val="single"/>
                </w:rPr>
                <w:t>Principal Accountant Fees and Services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09">
              <w:r>
                <w:rPr>
                  <w:rStyle w:val="InternetLink"/>
                  <w:rFonts w:ascii="Times New Roman;serif" w:hAnsi="Times New Roman;serif"/>
                  <w:b w:val="false"/>
                  <w:strike w:val="false"/>
                  <w:dstrike w:val="false"/>
                  <w:color w:val="000000"/>
                  <w:sz w:val="20"/>
                  <w:u w:val="none"/>
                  <w:effect w:val="none"/>
                </w:rPr>
                <w:t>63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12">
              <w:r>
                <w:rPr>
                  <w:rStyle w:val="InternetLink"/>
                  <w:rFonts w:ascii="Times New Roman;serif" w:hAnsi="Times New Roman;serif"/>
                  <w:b w:val="false"/>
                  <w:color w:val="0000FF"/>
                  <w:sz w:val="20"/>
                  <w:u w:val="single"/>
                </w:rPr>
                <w:t>PART IV</w:t>
              </w:r>
            </w:hyperlink>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15">
              <w:r>
                <w:rPr>
                  <w:rStyle w:val="InternetLink"/>
                  <w:rFonts w:ascii="Times New Roman;serif" w:hAnsi="Times New Roman;serif"/>
                  <w:b w:val="false"/>
                  <w:color w:val="0000FF"/>
                  <w:sz w:val="20"/>
                  <w:u w:val="single"/>
                </w:rPr>
                <w:t>Item 15.</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15">
              <w:r>
                <w:rPr>
                  <w:rStyle w:val="InternetLink"/>
                  <w:rFonts w:ascii="Times New Roman;serif" w:hAnsi="Times New Roman;serif"/>
                  <w:b w:val="false"/>
                  <w:color w:val="0000FF"/>
                  <w:sz w:val="20"/>
                  <w:u w:val="single"/>
                </w:rPr>
                <w:t>Exhibits and Financial Statement Schedules</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15">
              <w:r>
                <w:rPr>
                  <w:rStyle w:val="InternetLink"/>
                  <w:rFonts w:ascii="Times New Roman;serif" w:hAnsi="Times New Roman;serif"/>
                  <w:b w:val="false"/>
                  <w:strike w:val="false"/>
                  <w:dstrike w:val="false"/>
                  <w:color w:val="000000"/>
                  <w:sz w:val="20"/>
                  <w:u w:val="none"/>
                  <w:effect w:val="none"/>
                </w:rPr>
                <w:t>64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18">
              <w:r>
                <w:rPr>
                  <w:rStyle w:val="InternetLink"/>
                  <w:rFonts w:ascii="Times New Roman;serif" w:hAnsi="Times New Roman;serif"/>
                  <w:b w:val="false"/>
                  <w:color w:val="0000FF"/>
                  <w:sz w:val="20"/>
                  <w:u w:val="single"/>
                </w:rPr>
                <w:t>Item 16.</w:t>
              </w:r>
            </w:hyperlink>
          </w:p>
        </w:tc>
        <w:tc>
          <w:tcPr>
            <w:tcW w:w="8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18">
              <w:r>
                <w:rPr>
                  <w:rStyle w:val="InternetLink"/>
                  <w:rFonts w:ascii="Times New Roman;serif" w:hAnsi="Times New Roman;serif"/>
                  <w:b w:val="false"/>
                  <w:color w:val="0000FF"/>
                  <w:sz w:val="20"/>
                  <w:u w:val="single"/>
                </w:rPr>
                <w:t>Form 10-K Summary</w:t>
              </w:r>
            </w:hyperlink>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18">
              <w:r>
                <w:rPr>
                  <w:rStyle w:val="InternetLink"/>
                  <w:rFonts w:ascii="Times New Roman;serif" w:hAnsi="Times New Roman;serif"/>
                  <w:b w:val="false"/>
                  <w:strike w:val="false"/>
                  <w:dstrike w:val="false"/>
                  <w:color w:val="000000"/>
                  <w:sz w:val="20"/>
                  <w:u w:val="none"/>
                  <w:effect w:val="none"/>
                </w:rPr>
                <w:t>66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21">
              <w:r>
                <w:rPr>
                  <w:rStyle w:val="InternetLink"/>
                  <w:rFonts w:ascii="Times New Roman;serif" w:hAnsi="Times New Roman;serif"/>
                  <w:b w:val="false"/>
                  <w:color w:val="0000FF"/>
                  <w:sz w:val="20"/>
                  <w:u w:val="single"/>
                </w:rPr>
                <w:t>SIGNATURES</w:t>
              </w:r>
            </w:hyperlink>
          </w:p>
        </w:tc>
        <w:tc>
          <w:tcPr>
            <w:tcW w:w="8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21">
              <w:r>
                <w:rPr>
                  <w:rStyle w:val="InternetLink"/>
                  <w:rFonts w:ascii="Times New Roman;serif" w:hAnsi="Times New Roman;serif"/>
                  <w:b w:val="false"/>
                  <w:strike w:val="false"/>
                  <w:dstrike w:val="false"/>
                  <w:color w:val="000000"/>
                  <w:sz w:val="20"/>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Statements made in this Annual Report on Form 10-K that are not statements of historical or current facts, such as those under the heading “Management’s Discussion and Analysis of Financial Condition and Results of Operations,” are “forward-looking statements” within the meaning of the Private Securities Litigation Reform Act of 1995. Forward-looking statements discuss our current expectations and projections relating to our financial condition, results of operations, plans, objectives, future performance and business. These statements may be preceded by, followed by or include the words “aim,” “anticipate,” “believe,” “estimate,” “expect,” “forecast,” “intend,” “outlook,” “plan,” “potential,” “project,” “projection,” “seek,” “may,” “could,” “would,” “should,” “can,” “can have,” “likely,” the negatives thereof and other words and terms of similar meaning.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inherently subject to risks, uncertainties and assumptions; they are not guarantees of performance. You should not place undue reliance on these statements. We have based these forward-looking statements on our current expectations and projections about future events. Although we believe that our assumptions made in connection with the forward-looking statements are reasonable, we cannot assure you that the assumptions and expectations will prove to be correct.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commercialize and grow sales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regulatory approval of our products, and any related restrictions, limitations, and/or warnings in the label of an approved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size of the markets for our products, and our ability to service those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competing products that are or become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obtain and maintain reimbursement and third-party payor contracts with favorable terms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of commercialization activities, including marketing, sales and distribution;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rate and degree of market acceptance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changing market conditions for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any patent infringement, opioid-related or other litigation that may be brought by or against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any governmental investigation related to the manufacture, marketing and sale of opioid medications;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performance of our third-party suppliers and manufacturers;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secure adequate supplies of active pharmaceutical ingredients for each of our products, manufacture adequate quantities of commercially salable inventory and maintain our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effectively manage our relationships with licensors and to commercialize products that we in-license from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attract collaborators with development, regulatory and commercialization expertise;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obtain funding for our business development;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realize all the anticipated benefits from our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the terms of our outstanding indebtedness;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regulatory and legislative developments in the United States, including the adoption of opioid stewardship and similar taxes that may impact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obtain and maintain sufficient intellectual property protection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stringent government regulations relating to the manufacturing and marketing of pharmaceutical products, including U.S. Drug Enforcement Agency (“DEA”) compliance;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 concentration, which may adversely affect our financial condition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accuracy of our estimates regarding expenses, revenue, capital requirements and need for additional financing;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other risks, uncertainties and factors discussed under the heading “Risk Factors” in this Annual Report on Form 10-K.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light of these risks and uncertainties, expected results or other anticipated events or circumstances discussed in this Annual Report on Form 10-K (including the exhibits hereto) might not occur. We undertake no obligation, and specifically decline any obligation, to publicly update or revise any forward-looking statements, even if experience or future developments make it clear that projected results expressed or implied in such statements will not be realized, except as may be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These and other risks are described under the heading “Risk Factors” in this Annual Report on Form 10-K.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there can be no assurance that actual results or developments anticipated by us will be realized or, even if substantially realized, that they will have the expected consequences to, or effects on, us. Given these uncertainties, prospective investors are cautioned not to place undue reliance on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mission is to build a leading, diversified biopharmaceutical company committed to improving the lives of people living with serious medical conditions. We have developed, licensed, and acquired a portfolio of meaningfully differentiated products for use in the treatment of attention deficit hyperactivity disorder (“ADHD”) and moderate to severe pain. We commercialize our products, consisting of Jornay PM, Belbuca, Xtampza ER, Nucynta ER and Nucynta IR (collectively the “Nucynta Products”), and Symproic, in the United States.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Jornay PM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 2024, we acquired Ironshore, which had developed and obtained commercial approval to market Jornay PM in the United States.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Jornay PM is a central nervous system (“CNS”) stimulant prescription medicine that contains methylphenidate HCl, a Schedule II methylphenidate, which was approved by the U.S. Food and Drug Administration (“FDA”) in August 2018 for the treatment of ADHD in people six years of age and older and currently the only FDA-approved stimulant medication that is dosed in the evening.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of Ironshore expands our business beyond pain management and establishes a commercial presence in neuropsychiatry via the ADHD market.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Belbuca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Belbuca is a buccal film that contains buprenorphine, a Schedule III opioid, and was approved by the FDA in October 2015 for severe and persistent pain that requires an extended treatment period with a daily opioid analgesic and for which alternative options are inadequate.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Xtampza 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is an abuse-deterrent, extended-release, oral formulation of oxycodone, a Schedule II opioid. Xtampza ER is formulated using our novel abuse-deterrent technology platform, DETERx, which provides extended-release delivery, which is designed to deter abuse and misuse (e.g., crushing, chewing, heating, and injecting). This technology combines an active opioid ingredient with a fatty acid and waxes to form microspheres that are filled into a capsule. These wax-based microspheres are designed to resist particle size reduction and dose dumping when subjected to physical and chemical manipulation.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committed to ongoing monitoring and public dissemination of our real-world abuse and diversion data, regardless of the results. The two main sources of real-world abuse, misuse, and diversion data are RADARS® and Inflexxion, an IBH Company. The Researched Abuse, Diversion and Addiction-Related Surveillance (RADARS) System collects product-and geographically-specific data on abuse, misuse, and diversion of prescription drugs through its multiple data sources. Abuse, misuse, and diversion of Xtampza ER has remained low compared to commonly abused Schedule II opioid analgesics since its introduction into the U.S. market. Methods to defeat the tamper resistant properties of Xtampza ER have been reported. However, there is no indication of widespread or expanding abuse or misuse in the data streams evaluated. Potential limitations are based upon the fact that the Poison Center and Treatment Center Program cases involve self-reporting which may lead to: (i) differential misidentification among drug groups which may affect observed differences, and (ii) case counts of drug groups comprised primarily of branded products (other abuse-deterrent formulations of ER opioids) may be overestimated when based on self-reporting and drug groups comprised primarily of generic products (non-abuse-deterrent formulations of ER opioids and IR oxycodone) may be underestimated. The RADARS data represents a single snapshot in time and is subject to change. Therefore, we plan to continue monitoring real world data characterizing the rate of abuse, misuse, and diversion of Xtampza 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Nucynta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Nucynta Products are extended-release (“ER”) and immediate-release (“IR”) oral formulations of tapentadol, a Schedule II opioid. In November 2008, the FDA approved Nucynta ER and Nucynta IR. Nucynta ER is indicated for the management of severe and persistent pain that requires an extended treatment period with a daily opioid analgesic, including neuropathic pain associated with diabetic peripheral neuropathy in adults, and for which alternate treatment options are inadequate. Nucynta IR is indicated for the management of acute pain severe enough to require an opioid analgesic and for which alternative treatments are inadequate in adults and pediatric patients aged 6 years and older with a body weight of at least 40 kg. In August 2023, the FDA granted New Patient Population exclusivity for Nucynta IR in pediatric patients. This grant extended the period of U.S. exclusivity for Nucynta IR from June 27, 2025 to July 3, 2026. In June 2024, the FDA granted pediatric exclusivity to the Nucynta Products for an additional six months, to January 3, 2027 for Nucynta IR and December 27, 2025 for Nucynta ER.</w:t>
      </w:r>
    </w:p>
    <w:p>
      <w:pPr>
        <w:pStyle w:val="TextBody"/>
        <w:bidi w:val="0"/>
        <w:spacing w:lineRule="auto" w:line="268" w:before="0" w:after="0"/>
        <w:jc w:val="left"/>
        <w:rPr/>
      </w:pPr>
      <w:r>
        <w:rPr>
          <w:rFonts w:ascii="Times New Roman;serif" w:hAnsi="Times New Roman;serif"/>
          <w:b w:val="false"/>
          <w:color w:val="000000"/>
          <w:sz w:val="20"/>
        </w:rPr>
        <w:t>We have entered into an authorized generic agreement with Hikma Pharmaceuticals USA Inc. (“Hikma”), pursuant to which we granted Hikma rights relating to an authorized generic version of the Nucynta Products in the United States. In January 2026, a generic equivalent of Nucynta IR 50mg, 75mg and 100mg tablets was approved under an abbreviated New Drug Application (“ANDA”) filed by a third party with the FDA, which carves out pediatric use from its label.</w:t>
      </w:r>
      <w:r>
        <w:rPr>
          <w:color w:val="000000"/>
        </w:rPr>
        <w:t xml:space="preserve"> </w:t>
      </w:r>
      <w:r>
        <w:rPr>
          <w:rFonts w:ascii="Times New Roman;serif" w:hAnsi="Times New Roman;serif"/>
          <w:b w:val="false"/>
          <w:color w:val="000000"/>
          <w:sz w:val="20"/>
        </w:rPr>
        <w:t xml:space="preserve">As a result of the anticipated launch of the third-party generic equivalent of Nucynta IR, Hikma launched a generic version of Nucynta IR on February 25, 2026. Hikma is expected to launch a generic version of Nucynta ER in the first quarter of 2026.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Symproic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Symproic, an oral formulation of naldemedine, was approved by the FDA in March 2017 for the treatment of opioid-induced constipation (“OIC”) in adult patients with chronic non-cancer pain, including patients with chronic pain related to prior cancer or its treatment who do not require frequent (e.g., weekly) opioid dosage escalation.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Attention Deficit Hyperactivity Disorder (ADHD) &amp; Treatment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ADHD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ADHD is a CNS disorder characterized by developmentally inappropriate levels of inattention, hyperactivity, and impulsivity. Diagnosis of ADHD requires a comprehensive clinical evaluation based on identifying patients who exhibit the core symptoms of inattention, hyperactivity, and impulsivity.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2022–2023, approximately 11.4% of children or 7.1 million aged 3–17 and 6% of adults or 15.5 million had a current diagnosis of ADHD in the United States.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ADHD often begins in childhood and can persist into adulthood. The prevalence of children ever diagnosed increases by age. Over 90% of individuals with childhood ADHD will continue to struggle with residual, fluctuating symptoms and impairments through young adulthood.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ADHD symptoms may present as predominantly inattentive, predominantly hyperactive/impulsive, or combined inattentive/hyperactive/impulsive. ADHD may contribute to low self-esteem, troubled relationships, and difficulty at school or work.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Treatment for ADHD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Patients with ADHD seek treatment primarily due to functional impairment while physicians have historically focused on achieving symptom control. The current era of ADHD management is marked by a rich and diverse treatment options that expands from cognitive behavioral therapy, training interventions, to pharmacotherapy or a combination approach.</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Stimulants and nonstimulants are approved for the treatment of ADHD; however, stimulants are considered first-line therapy in children, adolescents, and adults with ADHD because of their greater efficacy. Although their mechanisms of action differ, both amphetamine and methylphenidate have been shown to exhibit efficacy in the management of ADHD by increasing dopamine and norepinephrine availability in the corticostriatal systems that subserve behaviors related to cognition and executive function.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Pain, Pain Management, and Opioid Abuse in the United States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Acute and Chronic Pain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Pain can be classified along many different variables, including severity, duration and etiology. There are two broad categories of pain based on duration: acute pain, or pain that is self-limited and generally requires treatment for no more than up to a few weeks, and chronic pain, or pain that lasts beyond the healing of an injury or that persists longer than 3 to 6 months. The overall prevalence of chronic pain among adults in the United States is 24.3%. Additionally, 8.5% of the U.S. adult population suffer from high-impact chronic pain that frequently limits life or work activities.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2021, the economic costs of chronic pain in the United States were estimated to be $722.8 billion, including $530.6 billion in medical care costs and $192.2 billion in lost work productivity, which does not include the cost of care for institutionalized individuals (e.g., nursing home residents, prisoners), military personnel, or children, or the costs associated with caregiving. The estimated annual costs of chronic pain exceed the costs for heart disease, cancer, and diabetes.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Role of Prescription Opioids in the Treatment of Pain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Prescription opioids continue to serve as important tools in the treatment of acute and chronic pain where alternative treatments have been inadequate. Prescription opioids are available in immediate-release formulations as well as in long-acting/extended-release formulations, which incorporate a time-release mechanism designed to deliver steady amounts of opioid, typically over 12 to 24 hours. Extended-release opioids are designed to offer more convenient dosing with a longer period of consistent blood levels of the active drug as compared to immediate-release formulations.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2025, there were approximately 133.2 million prescriptions for opioids written in the United States, representing a 2.4% decline from 2023 levels and including approximately 9.5 million prescriptions for long-acting/extended-release opioids, and approximately 123.7 million prescriptions for immediate-release opioids. After marked increases in opioid prescriptions from 2000 to 2015, prescriptions decreased each year since 2015, correlating with rising awareness of the extent and impact of the opioid crisis. However, prescription levels in 2020 returned to levels similar to those seen in the year 2000, when 143.8 million prescriptions for opioids were written in the United States, including 11.4 million prescriptions for extended-release opioids and 132.4 million prescriptions for immediate-release opioids.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Increasingly, practitioners and regulators are focusing on multidisciplinary, multimodal approaches to pain management, including exercise, physical therapy and psychotherapy, and opioid and non-opioid medications. Recognizing the role that opioid therapy continues to play in effective management of moderate to severe pain in appropriate patients, these groups are advocating for best practices that support appropriate opioid prescribing to help mitigate the risks of abuse, addiction and other adverse events associated with prescription opioids.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Prescription Opioid Abuse in the United States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Prescription opioids of all kinds, including both immediate-release and extended-release formulations, are subject to manipulation, diversion, misuse, and abuse. Besides their accepted uses for analgesia, opioids produce a general sense of well-being or euphoria by reducing tension, anxiety, and aggression. These effects contribute to the attractiveness of opioids for abuse and, indeed, the U.S. Centers for Disease Control and Prevention (“CDC”) has described abuse of prescription drugs in the United States as a vast and deadly epidemic. The beginning of the opioid overdose epidemic in the late 1990s was marked by a rise in prescription opioid overdose deaths. For a variety of reasons, heroin use began increasing in 2010, and had surpassed prescription opioids as a cause of opioid-related overdose by 2016. Meanwhile, the predominant opioid cause of death in 2013 involved synthetic opioids other than methadone. While opioid-related overdose deaths declined slightly in 2018 (in contrast to the sharp increases during 2014 to 2017), the number of drug overdose deaths was still ten times higher in 2023 than in 1999.</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Despite heightened awareness of the risks associated with opioid use, abuse of prescription opioids, including extended-release formulations, continues to be a public health issue. In 2024, 7.6 million, or 2.6% of people aged 12 and older, reported opioid misuse in the prior year as collected by the National Survey on Drug Use and Health sponsored by the Substance Abuse and Mental Health Services Administration (“SAMHSA”). In 2023, the number of reported deaths involving prescription opioids declined to 13,026, an improvement from 2017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Extended-release opioids may be especially attractive to people who abuse opioids because, if the extended-release mechanism can be defeated through tampering, many extended-release products quickly deliver a relatively large amount of active pharmaceutical ingredient (“API”) (i.e., an effect known as “dose dumping”). By manipulating these products, people who abuse opioids achieve a more intense euphoria as a result of rapid increases in the blood concentration of the API.</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response to issues surrounding abuse of prescription opioids, pharmaceutical companies have developed novel, abuse-deterrent formulation strategies. Abuse-deterrent formulations, including the DETERx platform that is incorporated in Xtampza ER, target the known or expected routes of abuse, such as crushing in order to snort or dissolving in order to inject, for the specific opioid drug substance. The FDA has encouraged the development of prescription opioids with abuse-deterrent formulations to help combat the opioid crisis, and expanding access to abuse deterrent formulations is part of the FDA’s comprehensive Opioids Action Plan. These technologies, however, do not eliminate the possibility of misuse and abuse. Moreover, no abuse deterrence technology, including DETERx, is able to deter the most common form of abuse, i.e., swallowing a number of intact capsules or tablets to achieve a feeling of euphoria.</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Legislative and Regulatory 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response to widespread prescription opioid abuse, the U.S. government and a number of state legislatures enacted new legislation and regulations intended to fight the opioid epidemic. At the federal level (in addition to the DEA and FDA efforts discussed elsewhere in this Annual Report on Form 10-K), in 2016 the CDC issued clinical practice prescribing guidelines intended to reduce opioid-related harms by encouraging primary care physicians to limit the amount of morphine milligram equivalents (“MMEs”) that they prescribe for chronic pain patients. On November 4, 2022, the CDC released updated guidance on prescribing opioids for pain. The 2022 prescribing guidelines replaced the 2016 guidelines but retained their principles for prescribing opioids for chronic pain. The updated CDC guidelines note that although opioids should not be considered first-line therapy for pain management, this does not mean that patients should be required to sequentially fail nonpharmacologic and nonopioid therapy before proceeding to opioid therapy, but rather the expected benefits specific to the clinical context should be weighed against risks before initiating therapy.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CDC, the Department of Health and Human Services (“HHS”), and the Department of Veterans Affairs and the Department of Defense (“VA-DoD”) issued clinical practice guidelines in 2017 and updated most recently in 2022 for the evaluation and management of care for patients with chronic pain who are on or being considered for opioid treatment. These guidelines are grounded in patient-centered care and the 2022 update provides algorithms for determining the appropriateness of opioids for chronic pain, determining the initiation of opioids, and maintaining, tapering, discontinuing or switching from full agonist opioid treatment.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While much, if not most, of the state level efforts have focused primarily on increasing people’s access to substance abuse treatment and harm reduction measures, some initiatives more directly impact manufacturers and distributors of prescription opioid products; these laws include requirements that manufacturers fund statewide drug take-back programs or pay opioid-specific taxes or “impact fees” and laws that limit the amount of opioid products that a physician may prescribe. Recent years have also seen a variety of proposed and enacted laws and regulations at the federal, state and local level intended to reduce, or limit increases in, pharmaceutical prices, including prescription drug price disclosure laws. Other jurisdictions may enact similar or novel measures intended to reduce or constrain the growth of pharmaceutical spending or otherwise impose policy measures (either opioid-specific or applicable to the pharmaceutical industry as a whole) that could increase our operating costs associated with compliance.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Manufacturing of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Jornay PM is manufactured pursuant to supply agreements with third-party manufacturers. Jornay PM drug product is manufactured by Coating Place Inc, in Verona, Wisconsin. Starting in 2026, capsules will be shipped to Patheon in Cincinnati, Ohio to be bottled and packed. This manufacturing process was previously performed by Patheon in Manati, Puerto Rico.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Belbuca and Symproic are manufactured pursuant to supply agreements with third-party manufacturers. Belbuca laminate (i.e., bulk product) is produced by Adhesives Research in Glen Rock, Pennsylvania and LTS Therapy Systems (formerly Tapemark) in St. Paul, Minnesota. Belbuca laminate is then sent to LTS Therapy Systems (formerly Tapemark) in St. Paul, Minnesota where it is converted into individual dosage units and, ultimately, into finished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is manufactured using a proprietary process. This process is reproducible, scalable, and cost-efficient, and we believe that the microsphere formulation — and the related manufacturing process — is unique in the extended-release opioid market. To date, we have produced Xtampza ER through a contract manufacturing organization, Patheon, a subsidiary of Thermo Fisher Scientific, pursuant to a third-party supply agreement. Our microsphere production is currently conducted in a dedicated manufacturing suite as we transitioned the microsphere production to the new suite in 2021. Patheon has an established record of manufacturing FDA-approved products in the United States, including products containing controlled substances. We own all of the intellectual property, including know-how and specialized manufacturing equipment, necessary to be able to qualify the manufacturing equipment currently located at Patheon’s facility at an alternative location (and with an alternative vendor) if necessary.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Nucynta Products are manufactured pursuant to supply agreements with third-party manufacturers. Nucynta ER is currently manufactured by Patheon in Cincinnati, Ohio. Nucynta IR is manufactured by Halo Pharmaceutical, Inc. in Whippany, New Jersey.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Symproic is manufactured pursuant to supply agreements with third-party manufacturers. Symproic is manufactured by UPM Pharmaceuticals in Bristol, Tennessee and packaged by Sharp Packaging Solutions in Allentown, Pennsylvania.</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Drug Substances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API used to formulate the products in our portfolio and DEA drug scheduling are as follows:</w:t>
      </w:r>
    </w:p>
    <w:tbl>
      <w:tblPr>
        <w:tblW w:w="5619" w:type="dxa"/>
        <w:jc w:val="center"/>
        <w:tblInd w:w="0" w:type="dxa"/>
        <w:tblLayout w:type="fixed"/>
        <w:tblCellMar>
          <w:top w:w="28" w:type="dxa"/>
          <w:left w:w="28" w:type="dxa"/>
          <w:bottom w:w="28" w:type="dxa"/>
          <w:right w:w="28" w:type="dxa"/>
        </w:tblCellMar>
      </w:tblPr>
      <w:tblGrid>
        <w:gridCol w:w="412"/>
        <w:gridCol w:w="362"/>
        <w:gridCol w:w="366"/>
        <w:gridCol w:w="109"/>
        <w:gridCol w:w="109"/>
        <w:gridCol w:w="109"/>
        <w:gridCol w:w="503"/>
        <w:gridCol w:w="503"/>
        <w:gridCol w:w="510"/>
        <w:gridCol w:w="109"/>
        <w:gridCol w:w="109"/>
        <w:gridCol w:w="109"/>
        <w:gridCol w:w="676"/>
        <w:gridCol w:w="676"/>
        <w:gridCol w:w="957"/>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DEA Drug Schedule</w:t>
            </w:r>
          </w:p>
        </w:tc>
      </w:tr>
      <w:tr>
        <w:trPr/>
        <w:tc>
          <w:tcPr>
            <w:tcW w:w="11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Xtampza 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Oxycodone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Tapentadol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Tapentadol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Methylphenidate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Buprenorphine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III</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Naldemedine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 a controlled substance</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Oxycodone, tapentadol, methylphenidate, and buprenorphine are classified as narcotic controlled substances under U.S. federal law. Xtampza ER, Jornay PM and the Nucynta Products are classified by the DEA as Schedule II controlled substances, meaning these products have a high potential for abuse and dependence but are recognized as having an accepted medical use. Belbuca is classified as a Schedule III controlled substance, meaning it has a moderate to low potential for abuse. Due to the controlled substances classification, the manufacturing, shipping, dispensing and storing of these products are subject to a high degree of regulation, as described in more detail under the caption “— Government Regulation — DEA and Opioid Regulation.”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procure the API used in our products from a sole supplier or limited number of suppliers.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Marketing and Commercialization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commercialize our products in the United States through two dedicated field sales forces, one focused on our pain portfolio and the other on ADHD. Our pain sales force consists of approximately 105 sales representatives and managers that call on the approximately 10,000 health care professionals who write approximately 67% of the branded extended-release opioid prescriptions in the United States, with a primary focus on pain specialists. Our ADHD sales force consists of approximately 200 sales representatives and managers that call on the approximately 21,000 health care professionals who write approximately 60% of the pediatric and adolescent extended release stimulant prescriptions in the United States. We also employ a market-access team to support our formulary approval and payor contracting across our portfolio.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marketing strategy focuses on increasing awareness of the differentiated features of our products. As an integral part of educating clinicians regarding the properties and differentiated profiles of our products, our sales force is trained to share information relating to significant risks associated with prescription opioids and stimulants, as applicable, including risks relating to addiction, abuse, and misuse.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primarily sell our products to wholesalers that, in turn, distribute our products to retail outlets (such as drug store and supermarket chains and independent pharmacies), managed health care organizations and government agencies. Customers in the managed health care market include health maintenance organizations, nursing homes, hospitals, clinics, pharmacy benefit management companies and mail order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protection of patents, designs, trademarks and other proprietary rights that we own or license is critical to our success and competitive position. Xtampza ER is protected by twelve issued patents in the United States (which cover both the abuse-deterrent technology and methods of using it to treat patients), one granted and two pending applications in the European Patent Office, two issued patents in Canada, and one issued patent in each of Japan and Australia. Finally, we have six patent applications pending in the United States, one pending patent application in each of Canada and Japan, and one pending Patent Cooperation Treaty (“PCT”) application. One of our issued U.S. patents expired in 2025 and the remaining are projected to expire in 2030 and 2036. Our pending patent applications in the United States, if issued, would be projected to expire in 2030 and 2036. In addition, we use a unique and proprietary process to manufacture our products that requires significant know-how, which we currently protect as trade secrets.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Nucynta IR is protected by one issued patent in the United States (which covers both the drug substance and drug product) that expired in 2025. Nucynta IR is also covered by New Patient Population exclusivity in pediatric patients that is projected to expire in 2027. Nucynta ER is protected by three issued patents in the United States (which cover the drug substance, drug product, certain characteristics of the dosage form, and methods of treating patients), one of which expired in 2025 and the remaining two are projected to expire in 2028 and 2029. Belbuca is protected by three issued patents in the United States (which cover a method of treating patients) that are projected to expire in 2027 and 2032. Jornay PM is protected by sixteen patents in the United States (which cover the pharmaceutical composition, formulation, and methods of treating patients) that are projected to expire in 2032.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party to a license agreement with Grünenthal Gmbh (the “Grünenthal License”) pursuant to which we license the right to commercialize the Nucynta Products in the United States and its territories and a license agreement with Shionogi (the “Shionogi License”) pursuant to which we license the right to commercialize Symproic in the United States and its territories.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concluded that some of our technology is best protected as proprietary know-how, rather than through obtaining patents. Except for the Grünenthal License and the Shionogi License, our technology and products are not in-licensed from any third party, and we own all of the rights to Xtampza ER, Belbuca and Jornay PM. We believe we have freedom to operate in the United States and other countries, but there can be no assurance that other companies, known and unknown, will not attempt to assert their intellectual property against us.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trademarks and trade designs to develop and maintain our competitive position. We have received trademark registration for Collegium Pharmaceutical, Inc., DETERx, and Xtampza ER in the United States, and acquired trademarks associated with the Nucynta Products in connection with our acquisition of assets and commercialization responsibilities of the Nucynta Products from Assertio Therapeutics, Inc. (the “Nucynta Acquisition”); Belbuca and Symproic in connection with our acquisition of BioDelivery Sciences International, Inc. (“BDSI”) (“the BDSI Acquisition”); and Jornay PM in connection with the acquisition of Ironshore.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business depends upon the skills, knowledge and experience of our scientific and technical personnel, as well as that of our advisors, consultants and other contractors. To help protect our proprietary know-how that is not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and inventions important to our business. Additionally, these confidentiality agreements require that our employees, consultants and advisors do not bring to us, or use without proper authorization, any third party’s proprietary technology.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is characterized by rapidly advancing technologies, intense competition, and a strong emphasis on proprietary products. Our competitors include major multinational pharmaceutical companies, biotechnology companies and universities and other research institutions. However, our primary source of competition stems from the generic opioid and stimulant markets, including both long-acting/extended-release and immediate-release drugs. Non-opioid alternative drugs are also being developed and marketed by a number of other pharmaceutical and biotechnology companies, such as Vertex Pharmaceuticals Incorporated, which in January 2025 obtained approval for suzetrigine for the treatment of moderate to severe acute pain in adults. Belbuca, Xtampza ER, and the Nucynta Products compete with oral opioids, transdermal opioids, local anesthetic patches, and implantable and external infusion pumps that can be used for infusion of opioids and local anesthetics. Jornay PM competes with currently marketed, branded and generic methylphenidate products for the treatment of ADHD. Most of the existing and potential competitors have significantly more financial and other resources than we do. We believe the key competitive factors that will affect the commercial success of our products include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therapeutic efficacy, convenience of dosing and distribution and, in the case of Xtampza ER, the degree of abuse deterrence of competing products, as well as their safety, cost and tolerability profiles.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FDA Approval Process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United States, pharmaceutical products are subject to extensive regulation by the FDA. The Federal Food, Drug, and Cosmetic Act and other federal and state statutes and regulations govern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warning or untitled letters, product recalls, product seizures, total or partial suspension of production or distribution, withdrawal of the product from the market, injunctions, fines, civil penalties, and criminal prosecution. Failure to meet FDA requirements for approval would also result in a medication not being approved for marketing.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process of developing a pharmaceutical product and obtaining FDA approval to market the medication in the United States typically involves: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completion of preclinical laboratory and animal testing and formulation studies in compliance with the FDA’s good laboratory practices (“GLP”)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submission to the FDA of an Investigational New Drug (“IND”) application for human clinical testing, which becomes effective 30 days after submission and, if not placed on clinical hold, before human clinical trials may begin in the United States;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approval by an independent institutional review board, at each clinical trial site before each trial may be initiated;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 of adequate and well-controlled human clinical trials in accordance with current good clinical practices (“GCP”) and FDA regulations to establish the safety and effectiveness of the proposed drug product for each indication for which FDA approval is sought;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satisfactory completion of an FDA pre-approval inspection of the facility or facilities at which the product is manufactured to assess compliance with the FDA’s current good manufacturing practices (“cGMP”)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submission to the FDA of a NDA or, in the case of a generic drug, an ANDA;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satisfactory completion of a review by an FDA advisory committee, if convened;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FDA review and approval of the NDA or ANDA.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Satisfaction of FDA pre-market approval requirements typically takes many years and the actual time required may vary substantially based upon the application type, complexity, and novelty of the product or disease.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Preclinical tests include laboratory evaluation of product chemistry, formulation, stability and toxicity, as well as animal studies to assess the characteristics and potential safety and efficacy of the product candidate. The conduct of the preclinical tests must comply with federal regulations and requirements, including GLPs. The results of preclinical testing are submitted to the FDA as part of an IND application along with other information, including information about product chemistry, manufacturing and controls, and a proposed clinical trial protocol. Long-term preclinical tests, such as animal tests of reproductive toxicity and carcinogenicity, may continue after the IND application is submitted.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involve the administration of the investigational new drug to healthy volunteers or subjects under the supervision of a qualified investigator. Clinical trials must be conducted: (i) in compliance with federal regulations and GCP, an international standard for the design, conduct, performance, monitoring, auditing, recording, analyses, and reporting of clinical trials that provides assurance that the data and reported results are credible and accurate, and that the rights, integrity, and confidentiality of trial subjects are protected; and (ii) under protocols detailing, among other things, the objectives of the trial, the parameters to be used in monitoring safety, and any effectiveness criteria to be evaluated.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provided to each clinical trial subject or his or her legal representative and must monitor the clinical trial until completed. There are also requirements governing the reporting of ongoing clinical trials and completed clinical trial results to public registries such as www.ClinicalTrials.gov. Failure to timely register a clinical trial or to submit study results to such public registries can give rise to civil monetary penalties and also prevent a non-compliant party from receiving future grant funds from the federal government.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Clinical trials to support NDAs for marketing approval are typically conducted in three sequential phases, but the phases may overlap or be combined.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Phase 1</w:t>
      </w:r>
      <w:r>
        <w:rPr>
          <w:rFonts w:ascii="Times New Roman;serif" w:hAnsi="Times New Roman;serif"/>
          <w:b w:val="false"/>
          <w:color w:val="000000"/>
          <w:sz w:val="20"/>
        </w:rPr>
        <w:t>: This phase includes the initial introduction of an investigational new drug into patients or healthy volunteer subjects. These studies are typically closely monitored and designed to determine the metabolism and pharmacological actions of the drug in humans, the side effects associated with increasing doses, and, in some cases, early evidence of effectiveness.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Phase 2</w:t>
      </w:r>
      <w:r>
        <w:rPr>
          <w:rFonts w:ascii="Times New Roman;serif" w:hAnsi="Times New Roman;serif"/>
          <w:b w:val="false"/>
          <w:color w:val="000000"/>
          <w:sz w:val="20"/>
        </w:rPr>
        <w:t>: This phase includes well-controlled, closely monitored studies conducted in a relatively small number of patients (typically no more than several hundred patients) to assess effectiveness of the drug for particular indication(s) in patients with the diseases or condition under study as well as to determine the common short-term side effects and risks associated with the drug.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u w:val="single"/>
        </w:rPr>
        <w:t>Phase 3</w:t>
      </w:r>
      <w:r>
        <w:rPr>
          <w:rFonts w:ascii="Times New Roman;serif" w:hAnsi="Times New Roman;serif"/>
          <w:b w:val="false"/>
          <w:color w:val="000000"/>
          <w:sz w:val="20"/>
        </w:rPr>
        <w:t>: This phase includes expanded controlled and uncontrolled trials which are performed after preliminary evidence suggesting effectiveness of the drug has been obtained. These studies typically include several hundred to several thousand patients and are conducted to gather additional information about the effectiveness and safety of the drug in order to evaluate the overall risk-benefit relationship and provide an adequate basis for labeling.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on an NDA.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Progress reports detailing the results of the clinical trials must be submitted at least annually to the FDA and more frequently if serious adverse events occur. Written IND safety reports must be submitted to the FDA and investigators for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product and, among other things, companies must develop methods for testing the identity, strength, quality and purity of the final product. Additionally, appropriate packaging must be selected and tested and stability studies must be conducted to demonstrate that the drug does not undergo unacceptable deterioration over its shelf life.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opioid products designed to deter abuse, FDA guidance regarding studies and clinical trials dictates what types of studies should be conducted to demonstrate abuse-deterrence, how those studies and clinical trials will be evaluated, and what product labeling claims may be approved based on the results of those studies and clinical trials. There are four categories of abuse-deterrence studies and clinical trials: Categories 1, 2 and 3 consist of pre-marketing studies and clinical trials designed to evaluate a product candidate’s abuse potential under controlled conditions, while Category 4 studies analyze post-market data to assess the impact of abuse-deterrent properties on actual abuse. The final guidance also provides examples of product label claims that may be made based on the results of the corresponding studies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After completion of the required clinical testing, an NDA is prepared and submitted to the FDA. The FDA conducts a preliminary review of all NDAs within the first 60 days after submission before accepting them for filing. Pursuant to agreements reached during reauthorization of the Prescription Drug User Fee Act (“PDUFA”), the FDA has a goal of acting on most original NDAs within six months or ten months of the application filing date, depending on the nature of the drug and whether the application is assigned a priority or standard review. The FDA has a number of programs intended to help expedite testing, review, and approval of drug candidates that meet certain eligibility criteria. The FDA may refer applications for novel drug products, or drug products that present difficult questions of safety or effectiveness, to an advisory committee – typically a panel that includes clinicians and other experts – for review, evaluation, and a recommendation as to whether the application should be approved and under what conditions. The FDA is not bound by the recommendation of an advisory committee, but it generally follows such recommendations.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the FDA’s evaluations of the NDA and of the sponsor’s manufacturing facilities are favorable, the FDA will issue an approval letter, and the sponsor may begin marketing the drug for the approved indications, subject to any post-approval requirements, described further below. If the FDA determines it cannot approve the NDA in its current form, it will issue a complete response letter indicating that the application will not be approved in its current form. The complete response letter usually describes the specific deficiencies that the FDA identified in the application and may require additional clinical or other data or impose other conditions that must be met in order to obtain approval of the NDA. After receiving a complete response letter, the applicant may resubmit the application addressing all deficiencies in the letter or withdraw the application. Addressing the deficiencies noted by the FDA can be costly and can result in significant delays prior to approval. Moreover, even if the applicant believes it has addressed the deficiencies, it is possible that approval may not ultimately be obtained.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Where a sponsor wishes to expand the originally approved prescribing information, such as by adding a new indication, it must submit and obtain approval of a sNDA. Changes to an indication generally require additional clinical studies, which can be time-consuming and require the expenditure of substantial additional resources. Under PDUFA, the target timeframe for the review of a sNDA to add a new clinical indication is six or ten months from the receipt date, depending on whether or not the sNDA has priority review. As with an NDA, if the FDA determines that it cannot approve a sNDA in its current form, it will issue a complete response letter as discussed above.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FDA has the authority to require a Risk Evaluation and Mitigation Strategy (“REMS”), either as a condition of the approval of an NDA or after approval. A REMS is a program to manage known or potential serious risks associated with a drug product and may be required by the FDA to ensure that the benefits of a drug outweigh its risks. If the FDA determines a REMS is necessary for a new drug, the drug sponsor must submit a proposed REMS plan as part of its NDA prior to approval. The FDA may also impose a REMS requirement on a drug already on the market if the FDA determines, based on new safety information, that a REMS is necessary to ensure that the drug’s benefits continue to outweigh its risks. A REMS can include medication guides, communication plans for healthcare professionals, and Elements To Assure Safe Use (“ETASU”). In addition, the REMS must include a timetable for periodically assessing the strategy, at a minimum, at 18 months, three years, and seven years after the REMS approval. The requirement for a REMS can materially affect the potential market and profitability of a drug.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2012, the FDA approved a class-wide REMS for extended-release and long-acting opioid products (Opioid Analgesic REMS). Extended-release formulations of oxycodone, morphine, hydrocodone and hydromorphone, for example, are required to have a REMS. The goal of the Opioid Analgesic REMS is to educate prescribers and other healthcare providers (including pharmacists and nurses) on the treatment and monitoring of patients with pain. Manufacturers subject to this class-wide REMS must work together to implement the REMS as part of the Opioid Analgesic REMS Program Companies ("RPC"), which is a collaboration of drug product companies to implement a single shared REMS to reduce the burden on the healthcare system accessed from the RPC REMs website. The content on this website is determined by, hosted on behalf of, and is financially supported by the RPC. The central component of the extended-release/long-acting opioid REMS program is an education program for healthcare providers who prescribe, and healthcare providers involved in the treatment and monitoring of patients who receive opioid analgesics. Specifically, the REMS includes a product-specific Medication Guide and the Patient Counseling Guide available for distribution to patients who are dispensed the drug, as well as a number of ETASU. These ETASU include REMS-compliant accredited continuing education for healthcare providers, which includes all healthcare providers who prescribe or are involved in the management of patients with pain; information provided to prescribers that they can use to educate patients in the safe use, storage, and disposal of opioids; and information provided to prescribers about the existence of the REMS and the strong recommendation that they complete the available training. Prescriber training required to be offered as part of the REMS is conducted by accredited, independent continuing education providers, without cost to healthcare professionals,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unrestricted grants funded by the opioid analgesic manufacturers. Moreover, REMS assessments must be submitted on an annual basis to assess the extent to which the ETASU are meeting the goals of the REMS and whether the goals or elements should be modified.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September 2018, and pursuant to its Opioids Action Plan, the FDA approved the final class-wide REMS, which includes several measures to facilitate communication of the risks associated with opioid pain medications to patients and health care professionals. For the first time, FDA notified companies that have NDAs or ANDAs for certain opioid analgesic drug products (“NDA/ANDA holders”) of the elements required for a single REMS for opioid analgesic products, whether branded or generic. The REMS requires that training be made available to health care providers who are involved in the management of patients with pain (including nurses and pharmacists) and requires that the education cover broad information about appropriate pain management, including alternatives to opioids for the treatment of pain. In connection with the 2018 REMS, the FDA also approved new product labeling containing information about the health care provider education available through the 2018 REMS. On October 31, 2024, FDA approved a modification to the opioid analgesic REMS to require manufacturers of opioid analgesics dispensed in outpatient settings to provide pre-paid drug mail-back envelopes (“MBEs”) upon request to become available by March 31, 2025 to pharmacies and other dispensers of opioid analgesics. As of March 31, 2025, we have made MBEs available on request by pharmacies in accordance with this requirement. Any products mailed-back under this program are sent to a destruction site that operates in compliance with DEA regulations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Advertising and Promotion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other federal regulatory agencies closely regulate the marketing and promotion of drugs through, among other things, guidance and regulations for direct-to-consumer advertising, communications 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efficacy that are consistent with the labeling approved by the FDA. Healthcare providers are permitted to prescribe drugs for “off-label” uses — that is, uses not approved by the FDA and therefore not described in the drug’s labeling — because the FDA does not regulate the practice of medicine. However, FDA regulations impose stringent restrictions on manufacturers’ communications regarding off-label uses. Failure to comply with applicable FDA requirements and restrictions in this area may subject a company to adverse publicity and enforcement action by the FDA, the U.S.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Post-Approval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Once an NDA is approved, a product will be subject to pervasive and continuing regulation by the FDA, including, among other things, requirements relating to drug listing and establishment registration, recordkeeping, periodic reporting, product sampling and distribution, adverse event reporting and advertising, marketing and promotion restrictions. In addition, the Drug Supply Chain Security Act (“DSCSA”), was enacted in 2013 with the aim of building an electronic system to identify and trace certain prescription drugs and biologics distributed in the United States. The DSCSA mandates phased-in and resource-intensive obligations for pharmaceutical manufacturers, wholesale distributors, and dispensers that culminated in November 2023. The FDA established a one-year stabilization period until November 2024 for trading partners to continue to build and validate interoperable systems and processes to meet certain requirements of the DSCSA. In late 2024, the FDA announced it is allowing a further exemption period for eligible trading partners who have successfully completed or made documented efforts to complete data connections with their immediate trading partners but still face challenges exchanging data. The exemption period for eligible manufacturers and repackagers extended until May 27, 2025. The law’s requirements include the quarantine and prompt investigation of a suspicious product, to determine if it is illegitimate, notifying trading partners and the FDA of any illegitimate product, and compliance with product tracking and tracing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Adverse event reporting and submission of periodic reports is required following FDA approval of an NDA. The FDA also may require, in addition to REMS discussed above, post-market testing, known as Phase 4 testing,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subjects entities to periodic announced or unannounced inspections by the FDA or these state agencies, during which the agency inspects manufacturing facilities to assess compliance with cGMPs. Regulatory authorities may withdraw product approvals, request product recalls, or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other punitive action if a company fails to comply with regulatory standards, if it encounters problems following initial marketing, or if previously unrecognized problems are subsequently discovered.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FDA may require post-approval studies, including post-marketing surveillance and observational studies and clinical trials, if the FDA finds that scientific data, including information regarding related drugs, warrant them. The purpose of such studies would be to collect additional information to assess a known serious risk or signals of serious risk related to the drug or to monitor for or identify an unexpected serious risk when available data indicate the potential for such a risk. The FDA may also require a labeling change if it becomes aware of new safety information that it believes should be included in the labeling of a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FDA held a meeting of the Anesthetic and Analgesic Drug Products Advisory Committee on April 19, 2023. The committee discussed post-marketing requirements (“PMRs”) 3033-11, issued to holders of NDAs for extended-release and long-acting opioid analgesics to evaluate long-term efficacy of opioid analgesics and the risk of opioid-induced hyperalgesia. The discussion focused on a clinical trial designed to address these objectives. The proposed design of study 3033-11, the enriched enrollment randomized withdrawal design, was not supported.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Hatch-Waxman Amendments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Orange Book Listing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seeking approval for a drug through an NDA, applicants are required to list with the FDA each patent with claims that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as referenced listed drugs (“RLDs”) in support of approval of an ANDA. An ANDA provides for marketing of a drug product that has the same active pharmaceutical ingredient in the same strengths and dosage form as the RLD and has been shown through bioequivalence testing to be therapeutically equivalent to the RLD. Other than the requirement for bioequivalence testing, ANDA applicants are not required to conduct, or submit results of, preclinical or clinical tests to prove the safety or efficacy of their drug product. Drugs approved in this way are commonly referred to as “generic equivalents” to the listed drug and can often be substituted by pharmacists under prescriptions written for the original listed drug.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ANDA applicant is required to make certain certifications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make certifications concerning a listed method-of-use patent. If the applicant does not challenge the listed patents, the ANDA application will not be approved until all the listed patents claiming the referenced product have expired.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Exclusivity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approval of an NDA for a new chemical entity (“NCE”), which is a drug that contains no active moiety that has been approved by the FDA in any other NDA, that drug receives five years of marketing exclusivity during which time the FDA cannot receive any ANDA seeking approval of a generic version of that drug or any Section 505(b)(2) NDA, discussed in more detail below, that relies on the FDA’s findings of safety and effectiveness regarding the NCE drug. A sponsor may obtain a three-year period of exclusivity for a change to an approved drug, such as the addition of a new indication to the labeling or a new formulation, if the supplement includes reports of new clinical trials (other than bioavailability clinical trials) essential to the approval of the supplement.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 ANDA may be submitted one year before NCE exclusivity expires if a Paragraph IV certification is filed. If there is no listed patent in the Orange Book, there may not be a Paragraph IV certification, and, thus, no ANDA may be filed before the expiration of the exclusivity period. No ANDA application will receive final approval before any applicable non-patent exclusivity listed in the Orange Book for the referenced product has expired.</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Section 505(b)(2) NDAs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Section 505(b)(2) NDA is a special type of NDA often used by applicants seeking approval for new or improved formulations or new uses of previously approved active moieties. Under Section 505(b)(2) of the Federal Food, Drug, and Cosmetic Act, in lieu of developing all of the information normally required for approval of an NDA, an applicant may rely, in part, on data developed by another party and for which the applicant has not obtained a right of reference. Most commonly, 505(b)(2) applicants rely on the FDA’s findings of safety and effectiveness in a prior approval of a similar product (although they may also rely on information in published literature). A 505(b)(2) application that references a prior approval may seek approval for some or all of the referenced product’s labeled indications and/or for a different indication not included in the referenced product’s label.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the Section 505(b)(2) applicant is relying on the FDA’s findings of safety and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In the interim period, the FDA may grant tentative approval. Tentative approval indicates that the FDA has determined that the applicant meets the standards for approval as of the date that the tentative approval is granted. Final regulatory approval can only be granted if the FDA is assured that there is no new information that would affect final regulatory approval. As with traditional NDAs, a Section 505(b)(2) NDA may be eligible for three-year marketing exclusivity, assuming the NDA includes reports of new clinical trials (other than bioavailability clinical trials) essential to the approval of the NDA. For further detail regarding our litigation with Purdue regarding our Section 505(b)(2) NDA for Xtampza ER, refer to “Item 3. Legal Proceedings”.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DEA and Opioid Regulation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Several of our products are regulated as “controlled substances” as defined in the Controlled Substances Act (“CSA”), which establishes registration, security, recordkeeping, reporting, storage, distribution, importation, exportation, and other requirements administered by the DEA.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DEA regulates controlled substances as Schedule I, II, III, IV or V substances. Schedule I substances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Jornay PM, Xtampza ER, and the Nucynta Products are listed by the DEA as Schedule II controlled substances under the CSA, while Belbuca is listed as a Schedule III controlled substance. Consequently, the manufacturing, shipping, storing, selling and use of these products is subject to a high degree of regulation. Also, distribution and dispensing of these drugs are highly regulated. Schedule II drugs are subject to the strictest requirements for registration, security, recordkeeping, and reporting. Further, all Schedule II drug prescriptions must be signed by a physician, presented to a pharmacist, and may not be refilled without a new prescription.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Annual DEA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a DEA quota system controls and limits the availability and production of controlled substances in Schedule I or II. Annually, the DEA establishes an aggregate quota for how much active opioid ingredients, such as oxycodone, tapentadol, and methylphenidate, may be produced in total in the United States based on the DEA’s estimate of the quantity needed to meet legitimate scientific and medicinal needs. The limited aggregate amount of opioids that the DEA allows to be produced in the United States each year is allocated among individual companies, who must submit applications, at least twice a year, to the DEA for individual production and procurement quotas. Jornay PM, Xtampza ER, and the Nucynta Products are regulated as Schedule II controlled substances, and thus, are subject to the DEA’s production and procurement quota system. Our contract manufacturers must receive a quarterly quota from the DEA to produce or procure any Schedule I or Schedule II substance, including methylphenidate for use in manufacturing Jornay PM, oxycodone base for use in manufacturing Xtampza ER and tapentadol for use in manufacturing the Nucynta Products. The DEA may adjust aggregate production quotas and individual production and procurement quotas from time to time during the year, although the DEA has substantial discretion in whether or not to make such adjustments.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of any Schedule I or II controlled substance must also be accompanied by special order forms, with copies provided to the DEA.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DEA also requires drug manufacturers to design and implement a system that identifies suspicious orders of controlled substances, such as those of unusual size, those that deviate substantially from a normal pattern and those of unusual frequency, prior to completion of the sale. A compliant suspicious order monitoring system includes well-defined due diligence, “know your customer” efforts and order monitoring.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certain circumstances, violations could result in criminal proceedings.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Individual states also independently regulate controlled substances. We and our contract manufacturers are subject to state regulation on the distribution of these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 laws have been enacted to address the national epidemics of prescription opioid abuse and illicit opioid use. In 2016, the Comprehensive Addiction and Recovery Act (“CARA”), was enacted to address the national epidemics of prescription opioid abuse and heroin use. CARA expands the availability of naloxone for law enforcement and other first responders, forms an interagency task force to develop best practices for pain management with opioid medications and provides resources to improve state monitoring of opioids. The Substance Use-Disorder Prevention that Promotes Opioid Recovery and Treatment for Patients and Communities Act (“SUPPORT Act”), which was signed into law in November 2018, includes a number of measures directed towards regulation and improvement of treatment for substance use-disorder and increased coverage by the Centers for Medicare and Medicaid Services (“CMS”) of medically-assisted treatment options. In addition, the SUPPORT Act requires HHS to report to Congress on existing barriers to access to abuse-deterrent opioid formulations by Medicare Part C and D beneficiaries.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Healthcare Fraud and Abuse Laws and Compliance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and they also apply to hospitals, physicians and other potential purchasers of our products. The applicable federal fraud and abuse laws apply to products or services reimbursed by federal healthcare programs. Some states, however, have applicable fraud and abuse laws that apply more broadly to include products or services reimbursed by private payors.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Anti-Kickback Statute (“AKS”) (42 U.S.C. § 1320a-7b(b)) prohibits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AKS and has been broadly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interpreted to include anything of value, including for example, gifts, discounts, coupons, the furnishing of supplies or equipment, credit arrangements, payments of cash, waivers of payments, ownership interests and providing anything at less than its fair market value. Under the AKS and the applicable criminal healthcare fraud statutes, a person or entity need not have actual knowledge of this statute or specific intent to violate it in order to have committed a violation. In addition, the government may assert that a claim including items or services resulting from a violation of the AKS, constitutes a false or fraudulent claim for purposes of the civil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AKS and implementing regulations provide exceptions under certain “safe harbors” for discounting, rebating or personal services arrangements, among other things. However, the lack of uniform court interpretation of the AKS makes compliance with the law difficult. Violations of the AKS can result in significant criminal fines, exclusion from participation in Medicare and Medicaid and follow-on civil litigation, among other things, for both entities and individuals.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Other federal healthcare fraud-related laws also provide criminal liability for violations. The Criminal Healthcare Fraud statute, 18 U.S.C. § 1347, for example, prohibits knowingly and willfully executing a scheme to defraud any healthcare benefit program, including private third-party payors. Federal criminal law at 18 U.S.C. § 1001, among other sections, prohibits knowingly and willfully falsifying, concealing or covering up a material fact or making any materially false, fictitious or fraudulent statement in connection with the delivery of or payment for healthcare benefits, items or services. </w:t>
      </w:r>
    </w:p>
    <w:p>
      <w:pPr>
        <w:pStyle w:val="TextBody"/>
        <w:bidi w:val="0"/>
        <w:spacing w:lineRule="auto" w:line="288" w:before="0" w:after="200"/>
        <w:jc w:val="left"/>
        <w:rPr/>
      </w:pPr>
      <w:r>
        <w:rPr>
          <w:rFonts w:ascii="Times New Roman;serif" w:hAnsi="Times New Roman;serif"/>
          <w:b w:val="false"/>
          <w:color w:val="000000"/>
          <w:sz w:val="20"/>
        </w:rPr>
        <w:t xml:space="preserve">The civil False Claims Act and similar state laws impose liability on any person or entity who, among other things, knowingly presents, or causes to be presented, a false or fraudulent claim for payment by a federal healthcare program. The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provisions of the False Claims Act and similar state laws allow a private individual to bring civil actions on behalf of the federal or state government and to share in any monetary recovery. The Federal Physician Payments Sunshine Act and similar state laws impose reporting requirements for various types of payments to physicians, other licensed healthcare practitioners and teaching hospitals. Failure to comply with required reporting requirements under these laws could subject manufacturers and others to substantial civil monetary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and litigation by certain government entities regarding our marketing of opioid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Like the AKS, the Patient Protection and Affordable Care Act (the “ACA”) amended the intent standard for certain healthcare fraud statutes under HIPAA such that a person or entity no longer needs to have actual knowledge of the statute or specific intent to violate it in order to have committed a violation.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HIPAA, as amended by the Health Information Technology for Economic and Clinical Health Act of 2009 (“HITECH”) and their respective implementing regulations, also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Federal price reporting laws require manufacturers to calculate and report complex pricing metrics to government programs, where such reported prices may be used in the calculation of reimbursement and/or discounts on approved products. In addition, federal consumer protection and unfair competition laws broadly regulate marketplace activities and activities that potentially harm consumers. There are also 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regulatory safe harbors available,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we become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U.S. will also likely be subject to foreign equivalents of the healthcare laws mentioned above, among other foreign laws.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Third-Party Payor Coverage and Reimbursement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our products will depend, in part, upon the availability of coverage and adequate reimbursement from third-party payors at the federal, state and private levels. Third-party payors include governmental programs such as Medicare or Medicaid, private insurance plans and managed care plans. These third-party payors may deny coverage or reimbursement for a product or therapy in whole or in part if they determine that the product or therapy was not medically appropriate or necessary. Also, third-party payors have attempted to control costs by limiting coverage through the use of formularies and other cost-containment mechanisms and the amount of reimbursement for particular procedures or drug treatments. In addition, some third-party payors also require preapproval of coverage for new or innovative devices or drug therapies before they will reimburse healthcare providers who prescribe such therapies. Payors may also impose step edits, prior authorization requirements, quantity limits, or preferential tiering for lower-cost or generic alternatives, which could delay or limit patient access to our products.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cost of pharmaceuticals and devices continues to generate substantial governmental and third-party payor interest. We expect that the pharmaceutical industry will continue to experience pricing pressures due to the trend toward managed healthcare, the increasing influence of managed care organizations and additional legislative proposals. As a result, our operations and business could be adversely affected by current and future third-party payor policies as well as healthcare legislative reforms.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While we cannot predict whether any proposed cost-containment measures will be adopted or otherwise implemented in the future, the impact of changes in agency leadership, or whether the Trump Administration may propose additional regulatory reforms, these requirements or any announcement or adoption of such proposals could have a material adverse effect on our ability to obtain adequate prices for our products and any other products we may seek to commercialize, and to operate profitably.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The Medicare Modernization Act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However, any negotiated prices for our products covered by a Part D prescription drug plan will likely be lower than the prices we might otherwise obtain. Moreover, while the Medicare Modernization Act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March 2010, the ACA was enacted, which significantly changed the way healthcare is financed by both governmental and private insurers. Among the provisions of the ACA of importance to the pharmaceutical and biotechnology industry are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annual, non-deductible fee on any entity that manufactures or imports certain branded prescription drugs and biologic agents, apportioned among these entities according to their market share in certain government healthcare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the rebates a manufacturer must pay under the Medicaid Drug Rebate Program to 23.1% and 13% of the average manufacturer price for branded and generic drugs, respectively;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Medicare Part D coverage gap discount program, in which manufacturers must agree to offer 50% (later amended to 70%) point-of-sale discounts to negotiated prices of applicable brand drugs to eligible beneficiaries during their coverage gap period, as a condition for the manufacturer’s outpatient drugs to be covered under Medicare Part D, a program that has since been eliminated by the Inflation Reduction Act of 2022;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extension of manufacturers’ Medicaid rebate liability to covered drugs dispensed to individuals who are enrolled in Medicaid managed care organizations;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expansion of the entities eligible for discounts under the Public Health Service pharmaceutical pricing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licensure framework for follow-on biologic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Patient-Centered Outcomes Research Institute to oversee, identify priorities in, and conduct comparative clinical effectiveness research, along with funding for such research;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requirement to annually report drug samples that manufacturers and distributors provide to physicians;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ACA has been subject to challenges in the courts. On June 17, 2021, in an appeal from a lower court decision holding that the individual mandate under the Affordable Care Act is unconstitutional,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Affordable Care Act was enacted. The Budget Control Act of 2011 and subsequent legislation has resulted in reductions to Medicare payments to providers of up to 2% per fiscal year, which will remain in effect through 2031 unless additional action is taken by Congress.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American Taxpayer Relief Act of 2012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American Rescue Plan Act of 2021 eliminated the statutory Medicaid drug rebate cap, previously set at 100% of a drug’s average manufacturer price, for single source and innovator multiple source drugs, effective January 1, 2024. As a result, manufacturers may be required to pay Medicaid rebates that exceed the sales price of a drug, which could have a material adverse effect on our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Inflation Reduction Act of 2022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Another component of the IRA includes the establishment of rebate payment requirements on Medicare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Part D drugs which penalize price increases that outpace inflation. The IRA also redesigned Medicare Part D to reallocate cost across the various stakeholders: CMS, payors, manufacturers, and beneficiaries. Certain aspects of the Part D redesign took effect in 2024 which ultimately shifts some liability from beneficiaries to the payors. All remaining components of the Part D Redesign took effect starting on January 1, 2025, including, eliminating the previous coverage gap which has been replaced with greater exposure for manufacturers after the beneficiary pays their deductible. Additionally, the exemption previously applied on the low-income subsidy (“LIS”) population has been removed and increases manufacturer rebate exposure for that population. Some manufacturers, including Collegium, may be able to qualify for a “phase in” of rebate utilization for the LIS population which should limit our exposure in the short term, but will increase it over time. The implementation of the IRA is currently subject to ongoing litigation that challenges the constitutionality of the IRA’s Medicare drug price negotiation program. The IRA could have the effect of reducing the prices we can charge and reimbursement we receive for our products, thereby reducing our profitability, and could have a material adverse effect on our financial condition, results of operations and growth prospects. The effect of the IRA on our business and the pharmaceutical industry in general is not yet known.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the One Big Beautiful Bill Act of 2025 imposed significant reductions in Medicaid funding, additional work requirements for certain Medicaid beneficiaries and more frequent eligibility redeterminations. These changes are expected to place increased pressure on state Medicaid budgets and could reduce enrollment, utilization and reimbursement levels for prescription drugs, including our products, which could adversely affect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Trump Administration has issued several executive orders and supported regulatory initiatives in 2025 that could significantly affect prescription drug pricing. On May 12, 2025, President Trump issued an executive order directing the Secretary of Health and Human Services to establish and communicate most-favored-nation (“MFN”) price targets and to pursue rulemaking to impose MFN-based pricing if sufficient progress is not achieved, while also supporting direct-to-patient sales models for manufacturers meeting such targets. The executive order further contemplates additional actions, including potential modification of marketing approvals or use of drug importation authorities, if manufacturers do not comply.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December 2025, CMS issued proposed rules that would create alternative payment models for Medicaid, Medicare Part B, and Medicare Part D that incorporate international reference-indexed MFN pricing principles, including proposed mandatory rebate models for certain single-source drugs under Medicare Part B and Part D. These proposals are expected to face legal challenges, and their timing, scope and ultimate impact on manufacturer pricing and revenues remain uncertain.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the White House in January 2026 released the “Great Healthcare Plan,” calling for Congress to codify the Trump Administration’s MFN drug-pricing deals (including to extend the results of recent voluntary negotiations following the May 2025 executive order), and also proposing measures that could affect pharmaceutical pricing and utilization dynamics more broadly, including expanding over-the-counter availability for certain verified-safe drugs and additional PBM/health insurance transparency and subsidy reforms. Any such legislation or implementing regulations could affect our pricing flexibility, contracting strategy, distribution channels, and net revenues. In addition, the Trump Administration is likely to propose additional new regulations that reform healthcare delivery in the United States, including related to healthcare and drug costs and pharmacy benefit manager reform, among other areas, the effect of which on our business and the pharmaceutical industry in general is not yet known.</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Our Environmental, Social, and Governance (“ESG”) Initiatives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commitment to serving as a responsible corporate citizen is rooted in our longstanding history of advancing our mission, executing our commercial strategy, governing our business to drive efficiency and value creation, and supporting our communities. We have prioritized corporate governance and risk mitigation; employee development and culture; our environmental footprint; and giving back to our communities. As a reflection of this commitment, our annual Corporate Scorecard has included metrics relating to our performance relative to specific ESG initiatives.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February 2026, we published our fourth annual ESG report on our corporate website highlighting our ESG accomplishments to date. The information contained in our ESG report is not a part of, nor is it incorporated by reference into,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Human Capital Management</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Collegium Culture and Employee Engagement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employees are foundational to our current and future success, and we believe that their engagement and commitment are among our most valuable assets. As we seek to build and sustain a challenging, inspiring, and inclusive environment for our employees, we have focused on talent acquisition and retention; employee training and development; nurturing a positive culture; and employee health and safety.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At Collegium, we recognize that we have a responsibility to hold ourselves to the highest standard of business and professional ethics. Our Core Values are the foundational principles of our organization and guide our work, how we interact with each other and our communities and influence the business strategies we employ to fulfill our mission. Our Core Values are: Uphold Integrity, Embrace Differences, Encourage Expression, and Be Accountable.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prioritize transparency, recognition, and collaboration to support our team’s engagement. We facilitate transparent communications through various channels, such as quarterly all-employee meetings, small-group employee conversations with our Chief Executive Officer, and periodic employee engagement surveys.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Talent Acquisition and Retention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seek to identify, recruit, retain, incentivize, and integrate our existing and new employees, advisors, and consultants. All full-time employees receive stock-based and cash-based compensation awards through the compensation cycle; stock-based compensation includes restricted stock units for the entire organization. The principal purposes of our equity and cash incentive plans are to attract, retain and reward personnel as they strive to increase stockholder value and contribute to the success of our company by motivating such individuals to perform to the best of their abilities and achieve our objectives.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Employee Training and Development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career development begins with good conversations between employees and their managers that ensure regular feedback, and we have implemented tools and annual processes that allow all employees in conjunction with their managers to explore possibilities and drive development action. Our comprehensive performance review process ensures our employees are on track with their development throughout the year.</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Employee Health and Safety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that the success of our business is fundamentally connected to the well-being of our employees; accordingly, we are committed to their health, safety, and wellness. We provide all employees and their families with access to a variety of innovative, flexible, and convenient health and wellness programs.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Employees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 total of 423 full-time employees.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Our Executive Officers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lists the positions, names and ages of our executive officers as of February 26, 2026:</w:t>
      </w:r>
    </w:p>
    <w:tbl>
      <w:tblPr>
        <w:tblW w:w="8124" w:type="dxa"/>
        <w:jc w:val="left"/>
        <w:tblInd w:w="0" w:type="dxa"/>
        <w:tblLayout w:type="fixed"/>
        <w:tblCellMar>
          <w:top w:w="28" w:type="dxa"/>
          <w:left w:w="28" w:type="dxa"/>
          <w:bottom w:w="28" w:type="dxa"/>
          <w:right w:w="28" w:type="dxa"/>
        </w:tblCellMar>
      </w:tblPr>
      <w:tblGrid>
        <w:gridCol w:w="510"/>
        <w:gridCol w:w="447"/>
        <w:gridCol w:w="453"/>
        <w:gridCol w:w="109"/>
        <w:gridCol w:w="109"/>
        <w:gridCol w:w="109"/>
        <w:gridCol w:w="145"/>
        <w:gridCol w:w="145"/>
        <w:gridCol w:w="146"/>
        <w:gridCol w:w="109"/>
        <w:gridCol w:w="109"/>
        <w:gridCol w:w="109"/>
        <w:gridCol w:w="1648"/>
        <w:gridCol w:w="1648"/>
        <w:gridCol w:w="2328"/>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Position(s)</w:t>
            </w:r>
          </w:p>
        </w:tc>
      </w:tr>
      <w:tr>
        <w:trPr/>
        <w:tc>
          <w:tcPr>
            <w:tcW w:w="141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Vikram Karnani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Colleen Tupper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Scott Dreyer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Commercial Officer</w:t>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Dieter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Thomas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Medical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i/>
          <w:color w:val="000000"/>
          <w:sz w:val="20"/>
        </w:rPr>
        <w:t xml:space="preserve">Vikram Karnani, Director, President and Chief Executive Officer. </w:t>
      </w:r>
      <w:r>
        <w:rPr>
          <w:rFonts w:ascii="Times New Roman;serif" w:hAnsi="Times New Roman;serif"/>
          <w:b w:val="false"/>
          <w:color w:val="000000"/>
          <w:sz w:val="20"/>
        </w:rPr>
        <w:t>Mr. Karnani has served as our President and Chief Executive Officer, and as director, since November 2024. Mr. Karnani previously served as Executive Vice President and President, Global Commercial Operations and Medical Affairs at Amgen Inc. (“Amgen”), a global biotechnology company. Mr. Karnani joined Amgen in October 2023 through Amgen’s acquisition of Horizon Therapeutics plc (“Horizon”). Mr. Karnani joined Horizon in 2014, holding numerous leadership positions including Executive Vice President and President, International, from August 2020 until October 2023; Executive Vice President and Chief Commercial Officer from March 2018 to August 2020; Senior Vice President, Rheumatology Business Unit from February 2017 to March 2018; and General Manager, Specialty Business Unit from July 2014 until February 2017. Prior to joining Horizon, Mr. Karnani was with Fresenius Kabi AG (“Fresenius Kabi”), a global health care company, where he served as Vice President of the therapeutics and cell therapy business from October 2011 to July 2014. Mr. Karnani also held various positions in business development, corporate strategy and strategic marketing within Fenwal Inc., a global blood technology company that was acquired by Fresenius Kabi,from November 2008 to October 2011. Mr. Karnani has a master’s degree from the Kellogg School of Management at Northwestern University, a master’s degree in electrical engineering from Case Western Reserve University and a bachelor of science degree in electrical engineering from University of Bombay, India.</w:t>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i/>
          <w:color w:val="000000"/>
          <w:sz w:val="20"/>
        </w:rPr>
        <w:t>Colleen Tupper, Executive Vice President and Chief Financial Officer.</w:t>
      </w:r>
      <w:r>
        <w:rPr>
          <w:color w:val="000000"/>
        </w:rPr>
        <w:t xml:space="preserve"> </w:t>
      </w:r>
      <w:r>
        <w:rPr>
          <w:rFonts w:ascii="Times New Roman;serif" w:hAnsi="Times New Roman;serif"/>
          <w:b w:val="false"/>
          <w:color w:val="000000"/>
          <w:sz w:val="20"/>
        </w:rPr>
        <w:t>Ms. Tupper joined us in May 2021 as Executive Vice President and Chief Financial Officer. Prior to joining us, Ms. Tupper most recently served as Chief Financial Officer, U.S. Business Unit as well as a member of the U.S. Business Unit Executive Leadership Team and the Global Finance Leadership Team at Takeda from January 2019 to April 2021. Prior to that role, Ms. Tupper held several roles of increasing responsibility at Shire Pharmaceuticals (acquired by Takeda in 2019) including Vice President, U.S. Commercial Finance; Vice President, Finance Integration Lead; and Vice President, Head of Finance Global Neuroscience and Ophthalmics. Earlier in her career, Ms. Tupper served in various finance and accounting roles at both Shire Pharmaceuticals and Antigenics (now Agenus). Ms. Tupper received a B.S. in Accounting from Franklin Pierce University.</w:t>
      </w:r>
    </w:p>
    <w:p>
      <w:pPr>
        <w:pStyle w:val="TextBody"/>
        <w:bidi w:val="0"/>
        <w:spacing w:lineRule="auto" w:line="288" w:before="0" w:after="200"/>
        <w:jc w:val="left"/>
        <w:rPr/>
      </w:pPr>
      <w:r>
        <w:rPr>
          <w:rFonts w:ascii="Times New Roman;serif" w:hAnsi="Times New Roman;serif"/>
          <w:b/>
          <w:i/>
          <w:color w:val="000000"/>
          <w:sz w:val="20"/>
        </w:rPr>
        <w:t>Scott Dreyer, Executive Vice President and Chief Commercial Officer.</w:t>
      </w:r>
      <w:r>
        <w:rPr>
          <w:color w:val="000000"/>
        </w:rPr>
        <w:t xml:space="preserve"> </w:t>
      </w:r>
      <w:r>
        <w:rPr>
          <w:rFonts w:ascii="Times New Roman;serif" w:hAnsi="Times New Roman;serif"/>
          <w:b w:val="false"/>
          <w:color w:val="000000"/>
          <w:sz w:val="20"/>
        </w:rPr>
        <w:t>Mr. Dreyer was appointed as our Executive Vice President and Chief Commercial Officer in July 2018. Mr. Dreyer joined us in January 2018 as Senior Vice President of Sales, Marketing, Commercial Capabilities and Training. He has over 25 years of commercial experience across sales, marketing, commercial operations and strategic planning, all within the biopharma industry. Most recently, Mr. Dreyer was Senior Vice President, Marketing and Commercial Operations for The Medicines Company. Prior to joining The Medicines Company, he was Vice President and Chief Marketing Officer-U.S. at Biogen. Prior to Biogen, Mr. Dreyer held various commercial leadership positions of increasing responsibility at Merck &amp; Co, including Vice President-U.S. Hospital and Oncology Sales and Commercial Operations, Vice President-U.S. Primary Care Sales, Executive Director U.S. Regional Marketing Leader – Neuroscience, Executive Director Customer Marketing and Solutions, Sr. Director of Strategic Planning and Director of Cardiovascular Marketing. Mr. Dreyer received his B.S. in Biology from Messiah College.</w:t>
      </w:r>
    </w:p>
    <w:p>
      <w:pPr>
        <w:pStyle w:val="TextBody"/>
        <w:bidi w:val="0"/>
        <w:spacing w:lineRule="auto" w:line="288" w:before="0" w:after="200"/>
        <w:jc w:val="left"/>
        <w:rPr/>
      </w:pPr>
      <w:r>
        <w:rPr>
          <w:rFonts w:ascii="Times New Roman;serif" w:hAnsi="Times New Roman;serif"/>
          <w:b/>
          <w:i/>
          <w:color w:val="000000"/>
          <w:sz w:val="20"/>
        </w:rPr>
        <w:t xml:space="preserve">David Dieter, Executive Vice President, General Counsel and Corporate Secretary. </w:t>
      </w:r>
      <w:r>
        <w:rPr>
          <w:rFonts w:ascii="Times New Roman;serif" w:hAnsi="Times New Roman;serif"/>
          <w:b w:val="false"/>
          <w:color w:val="000000"/>
          <w:sz w:val="20"/>
        </w:rPr>
        <w:t>Mr. Dieter has served as our Executive Vice President, General Counsel and Corporate Secretary since March 2025. Mr. Dieter previously served as an independent legal advisor from October 2024 until February 2025 within the biopharma industry. Prior to this, Mr. Dieter served as Vice President, Legal at Horizon Therapeutics USA, Inc. (“Horizon USA”) (which was acquired by Amgen in October 2023) where he managed internal and external legal counsel and served as an advisor to leadership across business functions on corporate and commercial matters, as well as international expansion, from October 2021 until February 2024, after which time he was not employed until October 2024. Mr. Dieter was previously Associate General Counsel at Horizon USA, where he also assisted with Horizon USA’s business development transactions, from January 2017 until October 2021. Before Horizon USA, David held several leadership roles at Takeda, including Vice President, Government Affairs and Associate General Counsel for Commercial Law. Earlier in his career, Mr. Dieter was a Partner at Freeborn &amp; Peters, a mid-sized, full-service law firm which has since merged with Smith Gambrell Russell, and an Associate at Perkins Coie, a global law firm. Mr. Dieter received a B.A. in Economics from the University of Tennessee, Knoxville and a J.D. from the University of Illinois College of Law, Champaign.</w:t>
      </w:r>
    </w:p>
    <w:p>
      <w:pPr>
        <w:pStyle w:val="TextBody"/>
        <w:bidi w:val="0"/>
        <w:spacing w:lineRule="auto" w:line="288" w:before="0" w:after="200"/>
        <w:jc w:val="left"/>
        <w:rPr/>
      </w:pPr>
      <w:r>
        <w:rPr>
          <w:rFonts w:ascii="Times New Roman;serif" w:hAnsi="Times New Roman;serif"/>
          <w:b/>
          <w:i/>
          <w:color w:val="000000"/>
          <w:sz w:val="20"/>
        </w:rPr>
        <w:t>Thomas Smith, M.D., Executive Vice President and Chief Medical Officer.</w:t>
      </w:r>
      <w:r>
        <w:rPr>
          <w:color w:val="000000"/>
        </w:rPr>
        <w:t xml:space="preserve"> </w:t>
      </w:r>
      <w:r>
        <w:rPr>
          <w:rFonts w:ascii="Times New Roman;serif" w:hAnsi="Times New Roman;serif"/>
          <w:b w:val="false"/>
          <w:color w:val="000000"/>
          <w:sz w:val="20"/>
        </w:rPr>
        <w:t>Dr. Smith has served as our Executive Vice President and Chief Medical Officer since March 2022 following the acquisition of BDSI. Dr. Smith has more than 25 years of experience in a variety of leadership roles at various major pharmaceutical companies, including serving as the Chief Medical Officer for BDSI from July 2018 until March 2022, Charleston Laboratories from January 2017 to July 2018, Ameritox and Mallinckrodt Pharmaceuticals. Prior to these roles, Dr. Smith served in scientific, medical and clinical leadership roles at Abbott Laboratories, Teva Pharmaceuticals and Kendle International. He is a member of several medical and scientific societies, including the American Medical Association and the American Academy of Family Physicians. Dr. Smith earned his M.D. from the Indiana University School of Medicine and a B.S. from Purdue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Our Corporate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headquartered in Stoughton, Massachusetts and our common stock trades on the NASDAQ Global Select Market (“NASDAQ”) under the trading symbol “COLL.”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predecessor was incorporated in Delaware in April 2002 under the name Collegium Pharmaceuticals, Inc. and in October 2003, our predecessor changed its name to Collegium Pharmaceutical, Inc. In July 2014, we reincorporated in the Commonwealth of Virginia pursuant to a merger whereby Collegium Pharmaceutical, Inc., a Delaware corporation, merged with and into Collegium Pharmaceutical, Inc., a Virginia corporation, with the Virginia corporation surviving the merger.</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www.collegiumpharma.com. We make available, free of charge on our website, our annual reports on Form 10-K, quarterly reports on Form 10-Q, current reports on Form 8-K and all amendments to those reports filed or furnished pursuant to Section 13(a) or 15(d) of the Securities Exchange Act of 1934, as amended (“Exchange Act”), as soon as reasonably practicable after we electronically file those reports with, or furnish them to, the Securities and Exchange Commission (“SEC”). We also make available, free of charge on our website, the reports filed with the SEC by our officers, directors and 10% shareholders pursuant to Section 16 under the Exchange Act as soon as reasonably practicable after copies of those filings are provided to us by those persons. The SEC also maintains a website, at www.sec.gov, that contains reports, proxy and information statements and other information regarding us and other issuers that file electronically. The information contained on, or that can be accessed through, our website is not a part of or incorporated by reference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in our common stock involves a high degree of risk. Investors should carefully consider the risks described below, as well as all other information included in this Annual Report on Form 10-K, including our financial statements, the notes thereto and the section entitled “Management’s Discussion and Analysis of Financial Condition and Results of Operations.” If any of the following risks actually occurs, our business, financial condition, operating results, prospects and ability to accomplish our strategic objectives could be materially harmed. As a result, the trading price of our common stock could decline and investors could lose all or part of their investment. Additional risks and uncertainties not presently known to us or that we currently deem immaterial may also impair our business operations and the market price of our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 length below. These risks include, among others, the following principal risk factors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profitability is dependent upon our ability to continue successfully commercializing our products and any products we may acquire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substantial outstanding indebtedness, which may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developments affecting the financial services industry could adversely affect our business, financial condition, or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cannot continue successfully commercializing our products and any products that we may acquire in the future, our business, financial condition and results of operations may be materially adversely affected and the price of our common stock may decline;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Despite receiving approval by the FDA, additional data may emerge that could change the FDA’s position on the product labeling of any of our products, including our abuse-deterrent claims with respect to Xtampza ER, and our ability to market our products successfully may be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Belbuca, Xtampza ER, and the Nucynta Products are subject to mandatory Risk Evaluation and Mitigation Strategy (“REMS”) programs, which could increase the cost, burden and liability associated with the commercialization of these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comply with ongoing governmental regulations for marketing our products, and in particular any failure to promote Xtampza ER’s abuse deterrent labeling in compliance with FDA regulations, could delay or inhibit our ability to generate revenues from their sale and could also expose us to claims or other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Unfavorable outcomes in intellectual property litigation could be costly and potentially limit our ability to commercialize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obtain or maintain intellectual property rights for our technologies, products or any products we may acquire, we may lose valuable assets or be unable to compete effectively in our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been, and may continue to be, forced to litigate to enforce or defend our intellectual property, which could be expensive, time consuming and unsuccessful, and result in the loss of valuable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utilize our own sales and marketing capabilities successfully or enter into strategic alliances with marketing collaborators, we may not continue to be successful in commercializing our products and may be unable to generate sufficient product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medical community, patients, and healthcare payors do not accept and use our products, we will not achieve sufficient product revenues and our business will suffer;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contain controlled substances, the manufacture, use, sale, importation, exportation and distribution of which are subject to regulation by state and federal law enforcement and other regulatory agencies;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to continue to commercialize our products and may reduce the prices we are able to obtain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Social issues around the abuse of opioids, including law enforcement concerns over diversion of opioids and regulatory and enforcement efforts to combat abuse, could decrease the potential market for our opioid products and may adversely impact external investor perceptions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FDA or other applicable regulatory authorities approve generic products with claims that compete with our opioid products, our sales could decline;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third-party manufacturers of our products fail to devote sufficient time and resources to these products, or their performance is substandard, and/or we encounter challenges with our dedicated manufacturing suite at our third-party manufacturer’s site for the manufacturing of Xtampza ER, our costs may be higher than expected and could have a material adverse effect on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Because we currently rely on a sole supplier or limited number of suppliers to manufacture the active pharmaceutical ingredient of our products, any production problems with any of these suppliers could have a material adverse effect on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wholesale pharmaceutical distributors for retail distribution of our products; if we lose any of our significant wholesale pharmaceutical distributors or their distribution network is disrupted, our financial condition and results of operations may be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could be subject to post-marketing requirements, which requirements may, in some cases, not be capable of timely or satisfactory completion without participation in consortia over which we have limited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realize all the anticipated benefits from our future acquisitions, and we may be unable to successfully integrate future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be adversely affected by certain events or circumstances outside our control, including macroeconomic conditions and geopolitical turmoil;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or regulatory action regarding opioid medications could negatively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substantial competition from other biotechnology and pharmaceutical companies, which may result in others discovering, developing or commercializing products more successfully than we do;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Commercial sales of our products may expose us to expensive product liability claims, and we may not be able to maintain product liability insurance on reasonable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price of our common stock may be volatile and you may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maintain profitability is dependent upon our ability to continue successfully commercializing our products and any products that we may acquire in the future. Our failure to do so successfully could impair our growth strategy and plans and could have a material adverse effect on our business, financial position, and operating results.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ability to maintain profitability depends upon our ability to realize the full commercial potential of our products and to commercialize successfully any other products that we may in-license or acquire in the future. Our ability to generate revenue from our current or future products depends on a number of factors, including our ability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realize a commercially viable price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manufacture commercial quantities of our products at acceptable cost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sustain a commercial organization capable of sales, marketing and distribution for the products we sell;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 coverage and adequate reimbursement from third parties, including government payors;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acquire new products, or develop new indications or line extensions for existing products, in the event that revenues from our existing products are impacted by price controls, loss of intellectual property exclusivity or competition;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comply with existing and changing laws and regulations that apply to the pharmaceutical industry, including opioid manufacturers, and to our products specifically, including FDA post-marketing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maintain profitability on a continuing basis, then we may be unable to continue our operations at planned levels and be forced to reduce our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0" w:after="200"/>
        <w:jc w:val="left"/>
        <w:rPr/>
      </w:pPr>
      <w:r>
        <w:rPr>
          <w:rFonts w:ascii="Times New Roman;serif" w:hAnsi="Times New Roman;serif"/>
          <w:b w:val="false"/>
          <w:color w:val="000000"/>
          <w:sz w:val="20"/>
        </w:rPr>
        <w:t xml:space="preserve">As of December 31, 2025, we had a gross U.S. federal net operating loss (“NOL”) carryforward of approximately $66.6 million and state NOL carryovers of approximately $192.4 million. The U.S. federal and state NOL carryforwards expire at various dates through 2037. Federal NOLs and certain state NOLs incurred in 2018 and onward have an indefinite expiration under the Tax Cuts and Jobs Act of 2017 and applicable state statutes. We also had U.S. federal tax credits of approximately $0.7 million. We do not have any state tax credits. These tax attributes are generally subject to a limited carryover/carryback period and are also subject to the annual limitations that may be imposed under Section 382 of the Internal Revenue Code of 1986. Refer to Note 19, </w:t>
      </w:r>
      <w:r>
        <w:rPr>
          <w:rFonts w:ascii="Times New Roman;serif" w:hAnsi="Times New Roman;serif"/>
          <w:b w:val="false"/>
          <w:i/>
          <w:color w:val="000000"/>
          <w:sz w:val="20"/>
        </w:rPr>
        <w:t>Income Taxes</w:t>
      </w:r>
      <w:r>
        <w:rPr>
          <w:rFonts w:ascii="Times New Roman;serif" w:hAnsi="Times New Roman;serif"/>
          <w:b w:val="false"/>
          <w:color w:val="000000"/>
          <w:sz w:val="20"/>
        </w:rPr>
        <w:t>, to our consolidated financial statements included in Part IV of this Annual Report on Form 10-K for more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We have substantial outstanding indebtedness, which may adversely affect our business, financial condition and results of operations.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December 2025, we entered into a Credit Agreement by and among us, the lenders from time to time party thereto and Truist Bank, as administrative agent (the “2025 Credit Agreement”), of which $580.0 million in principal was outstanding as of December 31, 2025 (the “2025 Term Loan”). In addition, we have $241.5 million in 2.875% convertible senior notes due in 2029 (the “2029 Convertible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also incur additional indebtedness to meet future financing needs. Our existing and future levels of indebtedness could have significant negative consequences for our security holders and our business, results of operations and financial condition by, and among other things: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the dedication of a substantial portion of our cash flows from operations to service our indebtedness, which will reduce the amount of cash available for operations, working capital, capital expenditures, expansion, acquisitions or general corporate or other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limiting our ability to obtain additional financing;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limiting our flexibility to plan for, or react to, changes in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exposing us to the risk of increased interest rates as certain of our borrowings, including the 2025 Term Loan, are at variable rates of interest;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diluting the interests of our existing shareholders as a result of issuing shares of our common stock upon conversion of the 2029 Convertible Notes;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placing us at a possible competitive disadvantage with competitors that are less leveraged than we are or have better access to capital;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increasing our vulnerability to downturns in our business, our industry or the economy in general.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Holders of our 2029 Convertible Notes, subject to a limited exception described in the notes, may require us to repurchase their notes following a fundamental change at a cash repurchase price generally equal to the principal amount of the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the cash amounts due upon conversion. Applicable law, regulatory authorities and the agreements governing our other indebtedness may restrict our ability to repurchase the notes or pay the cash amounts due upon conversion, and any failure by us to repurchase notes or to pay the cash amounts due upon the conversion when required would constitute a default under the indenture.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Additionally, the indenture governing the 2029 Convertible Notes and our 2025 Credit Agreement contain certain covenants and obligations applicable to us, including, without limitation, covenants that limit our ability to incur additional indebtedness or liens, make acquisitions or other investments or dispose of assets outside the ordinary course of business, which could limit our ability to capitalize on business opportunities that may arise or otherwise place us at a competitive disadvantage relative to our competitors.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covenants in the indenture governing the 2029 Convertible Notes or in the 2025 Credit Agreement would constitute an event of default under those instruments, notwithstanding our ability to meet our debt service obligations. A default under the indenture or a fundamental change could also result in a default under one or more of the agreements governing our other indebtedness, which may result in that other indebtedness becoming immediately payable in full. In such event, we may not have sufficient funds to satisfy all amounts that would become due. The 2025 Credit Agreement includes various customary remedies for the lenders following an event of default, including the acceleration of repayment of outstanding amounts under the 2025 Credit Agreement and execution upon the collateral securing obligations under the 2025 Credit Agreement. In addition, because our assets are pledged as a security under the 2025 Credit Agreement, if we are not able to cure any default or repay outstanding borrowings, our assets would be subject to the risk of foreclosure by our lenders.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amounts outstanding under our 2025 Credit Agreement bear an annual interest rate equal to term Secured Overnight Financing Rate (“SOFR”) plus a spread adjustment ranging from 2.75% to 3.75%. We have not hedged our interest rate exposure with respect to our floating rate debt. Accordingly, our interest expense for any period will fluctuate based on SOFR and other variable interest rates, as applicable.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into receivership by the Federal Deposit Insurance Corporation (“FDIC”).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Further, investor concerns regarding domestic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cash and liquidity resources could, among other risks, adversely impact our ability to meet our financial obligations, which could have material adverse impacts on our liquidity and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If we cannot continue successfully commercializing our products and any products that we may acquire in the future, our business, financial condition and results of operations may be materially adversely affected and the price of our common stock may decline.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future success are substantially dependent on our ability to continue successfully commercializing our products, including Jornay PM, Belbuca, Xtampza ER, the Nucynta Products, Symproic, and any products that we may acquire in the future.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ability to continue successfully commercializing our products will depend on many factors, including but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manufacture commercial quantities of our products at reasonable cost and with sufficient speed to meet commercial demand;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execute sales and marketing strategies successfully and continually;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success in educating physicians, patients and caregivers about the benefits, administration, use and coverage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respect to Xtampza ER, the perceived availability and advantages, relative cost, relative safety and relative efficacy of other abuse-deterrent products and treatments with similar indications;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defend successfully any challenges to our intellectual property or suits asserting patent infringement relating to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and quality of coverage and adequate reimbursement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continued acceptable safety profile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acquire new products, or develop new indications or line extensions for existing products, in the event that revenues from our existing products are impacted by price controls, loss of intellectual property exclusivity or competition; and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comply with applicable legal and regulatory requirements, including any additional manufacturing or packaging requirements that may become applicable to certain opioid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Many of these matters are beyond our control and are subject to other risks described elsewhere in this “Risk Factors” section. Accordingly, we cannot assure you that we will be able to continue successfully commercializing or to generate sufficient revenue from our products. If we cannot do so, or are significantly delayed in doing so, our business will be materially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Despite receiving approval by the FDA, additional data may emerge that could change the FDA’s position on the product labeling of any of our products, including our abuse-deterrent claims with respect to Xtampza ER, and our ability to market our products successfully may be adversely affected.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was approved with label language describing abuse-deterrent properties of the formulation with respect to the nasal and IV routes of abuse, consistent with Guidance for Industry, “Abuse-Deterrent Opioids- Evaluation and Labeling.” In November 2017, the FDA approved a supplemental NDA for Xtampza ER to include comparative oral pharmacokinetic data from a clinical study evaluating the effect of physical manipulation by crushing Xtampza ER compared with OxyContin and a control (oxycodone hydrochloride immediate-release), results from an oral human abuse potential study and the addition of an oral abuse deterrent claim.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FDA can require changes to the product labeling for any of our products at any time, which can impact our ability to generate product sales. For example, on July 31, 2025, the FDA announced that it will be requiring safety related labeling changes for all opioid pain medications, including clearer risk information, dosing warnings, use limits, treatment guidance, safe discontinuation instructions, information on overdose reversal agents, an enhanced drug interaction warning, additional overdose risk information, and digestive health information. We have implemented the required labeling changes and continue to monitor and comply with applicable FDA requirements. Additionally, if the FDA determines that our post-marketing data for Xtampza ER does not demonstrate that the abuse-deterrent properties result in reduction of abuse, or demonstrates a shift to routes of abuse that present a greater risk, the FDA may find that product labeling revisions are needed, and potentially require the removal of our abuse-deterrence claims, which would have a material adverse effect on our ability to continue successfully commercializing Xtampza ER. The imposition of label changes now or in the future could delay or preclude us from realizing the full commercial potential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Our opioid products are subject to mandatory REMS programs, which could increase the cost, burden and liability associated with the commercialization of these products.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FDA has imposed a class-wide REMS on all IR, ER and long-acting opioid drug products (known as the Opioid Analgesic REMS). The FDA continually evaluates whether the REMS program is meeting its goal of ensuring that the benefit of these drugs continue to outweigh their risks, and whether the goals or elements of the program should be modified. As opioids, Xtampza ER, the Nucynta Products and Belbuca are subject to the Opioid Analgesic REMS.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modification of the Opioid Analgesic REMS by the FDA to impose additional or more burdensome requirements could increase the costs associated with marketing these products and/or reduce the willingness of healthcare providers to prescribe these products, which would have a material adverse effect on our ability to continue to successfully commercialize and generate sufficient revenue from these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Failure to comply with ongoing governmental regulations for marketing our products, and in particular any failure to promote Xtampza ER’s abuse deterrent labeling in compliance with FDA regulations, could delay or inhibit our ability to generate revenues from their sale and could also expose us to claims or other sanctions.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to scrutiny by the FDA, advertising and promotion of any pharmaceutical product marketed in the United States is heavily scrutinized by, among others, the Department of Justice, the Office of Inspector General for the U.S. Department of Health and Human Services, state attorneys general, members of Congress and the public. Violations, including promotion of our products for unapproved or off-label uses, are subject to enforcement letters, inquiries and investigations, and civil and criminal sanctions by government agencies. In September 2025, the FDA announced increased scrutiny of advertising and promotional practices, with a particular focus on direct-to-consumer (“DTC”) advertising, and released a large number of untitled and warning letters citing allegedly misleading claims in the marketing of prescription pharmaceutical products. This heightened enforcement environment increases the risk that our promotional materials, even if we believe them to be compliant, could be challenged by the FDA or by consumers or plaintiffs’ counsel. If we cannot successfully manage the promotion of our products, we could become subject to significant liability, which would materially adversely affect our business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particular, Xtampza ER has FDA-approved product labeling that describes its abuse deterrent features, which allows us to promote those features and differentiate Xtampza ER from other opioid products containing the same active pharmaceutical ingredients. Because the FDA closely regulates promotional materials and other promotional activities, even though the FDA-approved product labeling includes a description of the abuse deterrent characteristics of Xtampza ER, the FDA may object to our marketing claims and product advertising campaigns.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Engaging in off-label promotion of our products, including Xtampza ER, could subject us to false claims liability under federal and state statutes, and other litigation and/or investigations, and could lead to the issuance of warning letters or untitled letters, suspension or withdrawal of our products from the market, recalls, fines, disgorgement money, operating restrictions, injunctions, and civil or criminal prosecution. Any of these consequences would harm the commercial success of our products, including Xtampza 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discovery of serious and unanticipated adverse events associated with the product; the emergence of other problems with the product, manufacturer or facility; or our failure to make required regulatory submissions may result in adverse regulatory actions, including withdrawal of the product from the market or the requirement to add or strengthen label warnings about the product. The failure to obtain or maintain requisite governmental approvals or the imposition of additional or stronger warnings could delay or preclude us from realizing the full commercial potential of our products.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Unfavorable outcomes in intellectual property litigation could be costly and potentially limit our ability to commercialize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upon our ability to commercialize products without infringing the intellectual property rights of others. Our current or future products, or any uses of them, may now or in the future infringe third-party patents or other intellectual property rights. We cannot currently determine the ultimate scope and validity of patents which may be granted to third parties in the future or which patents might be asserted to be infringed by the manufacture, use and sale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we are found to infringe a third party’s intellectual property rights, we could be required to obtain a license from such third party to continue developing or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products or force us to cease some of our business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litigation, including any interference or derivation proceedings to determine priority of inventions, oppositions, reexaminations, inter partes reviews or other post-grant review proceedings to patents in the United States, or litigation against our collaborators may be costly and time consuming and could have a material adverse effect on our operating results, our ability to raise capital needed to commercialize products and our overall financial condition. We expect that litigation may be necessary in some instances to determine the validity and scope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including our pending litigation with Purdue, could compromise the validity and scope of our patents or other proprietary rights or hinder our ability to manufacture and market our products.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obtain or maintain intellectual property rights for our technologies, products or any products we may acquire, we may lose valuable assets or be unable to compete effectively in our market.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our ability to protect our proprietary technology. We rely on patent and trademark laws, unpatented trade secrets and know-how, and confidentiality, licensing and other agreements with employees and third parties, all of which offer only limited protection. Our success depends in large part on our ability to obtain and maintain patent protection in the United States with respect to our proprietary technology and products.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steps we have taken to protect our proprietary rights may not be adequate to preclude misappropriation of our proprietary information or infringement of our intellectual property rights in the United States. The rights already granted under any of our currently issued patents and those that may be granted under future issued patents may not provide us with the proprietary protection or competitive advantages we are seeking.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have been, and may continue to be, forced to litigate to enforce or defend our intellectual property, which could be expensive, time consuming and unsuccessful, and result in the loss of valuable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been, and may continue to be, forced to litigate to enforce or defend our intellectual property rights against infringement and unauthorized use by competitors, and to protect our trade secrets, including in connection with our pending litigation against generic competitors that have filed Paragraph IV Certifications relating to certain of our products. In so doing, we may place our intellectual property at risk of being invalidated, rendered unenforceable or limited or narrowed in scope. This litigation is expensive and time consuming. Many of our current and potential competitors have the ability to dedicate substantially greater resources to defend their intellectual property rights than we can.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despite our efforts, we may not be able to prevent third parties from infringing upon or misappropriating our intellectual property. Litigation could result in substantial costs and diversion of management resources, which could have a material adverse effect on our operating results, our ability to raise capital needed to commercialize products and our overall financial condition. In addition, an adverse result in any litigation proceeding could put one or more of our patents at risk of being invalidated, held unenforceable or interpreted narrowly.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products, we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may be less willing or unwilling to protect trade secrets. If any of our trade secrets were to be lawfully obtained or independently developed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competitor, we would have no right to prevent such competitor, or those with whom they communicate, from using that technology or information to compete with us. If any of our trade secrets were to be disclosed or independently developed, our competitive position would be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United States Patent and Trademark Office (“USPTO”) requires compliance with a number of procedural, documentary, fee payment and other similar provisions during the patent application process. In addition, periodic maintenance fees on issued patents are required to be paid to the USPTO in several stages over the lifetime of the patents.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our competitive position would be adversely affected.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Products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utilize our own sales and marketing capabilities successfully or enter into strategic alliances with marketing collaborators, we may not continue to be successful in commercializing our products and may be unable to generate sufficient product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commercial organization continues to evolve and we cannot guarantee that we will continue to be successful in marketing our products. In connection with the Ironshore Acquisition, we acquired the sales force supporting Jornay PM and we cannot guarantee that we will be able to successfully grow the Jornay PM sales infrastructure, while continuing to support and maintain our existing sales organization. In addition, we compete with other pharmaceutical and biotechnology companies with extensive and well-funded sales and marketing operations to recruit, hire, train and retain sales and marketing personnel. If we are unable to continue to grow and maintain adequate sales, marketing and distribution capabilities, whether independently or with third parties, including with respect to our acquisition of Jornay PM, we may not be able to generate sufficient product revenue and may not remain profitable. Factors that may inhibit our efforts to continue successfully commercializing our products in the United States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recruit and retain adequate numbers of effective sales and marketing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sales personnel to reach adequate numbers of physicians who may prescribe our products;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unforeseen costs and expenses associated with creating and maintaining an independent sales and marketing organization.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not successful in retaining sales and marketing personnel or in maintaining our sales and marketing infrastructure or if we do not preserve strategic alliances with marketing collaborators, agreements with contract sales organizations or collaboration arrangements, we will have difficulty in continuing to commercialize our products. </w:t>
      </w:r>
    </w:p>
    <w:p>
      <w:pPr>
        <w:pStyle w:val="TextBody"/>
        <w:bidi w:val="0"/>
        <w:spacing w:lineRule="auto" w:line="288" w:before="0" w:after="286"/>
        <w:jc w:val="left"/>
        <w:rPr>
          <w:rFonts w:ascii="Times New Roman;serif" w:hAnsi="Times New Roman;serif"/>
          <w:b/>
          <w:i/>
          <w:color w:val="000000"/>
          <w:sz w:val="20"/>
        </w:rPr>
      </w:pPr>
      <w:r>
        <w:rPr>
          <w:rFonts w:ascii="Times New Roman;serif" w:hAnsi="Times New Roman;serif"/>
          <w:b/>
          <w:i/>
          <w:color w:val="000000"/>
          <w:sz w:val="20"/>
        </w:rPr>
        <w:t>If the medical community, patients, and healthcare payors do not accept and use our products, we will not achieve sufficient product revenues and our business will suffer.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Physicians and others in the medical community, patients, and healthcare payors may not continue to accept and use our products, or accept and use any new products that we may acquire. Acceptance and use of our products will depend on a number of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approved indications, warnings and precautions language that may be less desirable than competitive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perceptions of physicians and other healthcare community members of the safety and efficacy of our products;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perceptions by members of the healthcare community, including physicians, about the relevance and efficacy of our abuse deterrent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competitive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pricing and cost-effectiveness of our products relative to competing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and perceived advantages of our products over alternative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convenience and ease of administration to patients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and perceived availability and quality of coverage and reimbursement for our products from government or other third-party payors;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negative publicity related to our products or negative or positive publicity related to our competitors’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prevalence and severity of adverse side effects;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policy initiatives by FDA, HHS, DEA, or other federal or state agencies regarding opioids;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the Opioid Analgesic REMS;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effectiveness of marketing and distribution efforts by us and any licensees and distributors.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our products fail to have an adequate level of acceptance by the medical community, patients, or healthcare payors, we will not be able to generate sufficient revenue to remain profitable. Since we expect to rely on sales generated by Jornay PM, Belbuca, Xtampza ER, the Nucynta Products, and Symproic for substantially all of our revenues for the foreseeable future, the failure of these products to maintain market acceptance would harm our business prospects. For example, on July 2, 2025, the FDA announced it will be revising the labeling of all extended-release ADHD products to warn about the risk of weight loss and other adverse reactions (side effects) in patients younger than 6 years taking these medications. It is unknown whether this label update may result in adverse consequences for future Jornay PM prescribing or use since it is an extended-release product.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Some of our products contain controlled substances, and the manufacture, use, sale, importation, exportation and distribution of which are subject to regulation by state and federal law enforcement and other regulatory agencies.</w:t>
      </w:r>
    </w:p>
    <w:p>
      <w:pPr>
        <w:pStyle w:val="TextBody"/>
        <w:bidi w:val="0"/>
        <w:spacing w:lineRule="auto" w:line="288" w:before="0" w:after="200"/>
        <w:jc w:val="left"/>
        <w:rPr/>
      </w:pPr>
      <w:r>
        <w:rPr>
          <w:rFonts w:ascii="Times New Roman;serif" w:hAnsi="Times New Roman;serif"/>
          <w:b w:val="false"/>
          <w:color w:val="000000"/>
          <w:sz w:val="20"/>
        </w:rPr>
        <w:t xml:space="preserve">Some of our products contain controlled substances that are subject to state and federal laws and regulations regarding their manufacture, use, sale, importation, exportation and distribution. Jornay PM’s active ingredient, methylphenidate hydrochloride, Xtampza ER’s active ingredient, oxycodone, and the Nucynta Products’ active ingredient, tapentadol hydrochloride are each classified as Schedule II controlled substances under the Controlled Substances Act (“CSA”) and regulations of the DEA, and the active ingredient in Belbuca, </w:t>
      </w:r>
      <w:r>
        <w:rPr>
          <w:rFonts w:ascii="Times New Roman;serif" w:hAnsi="Times New Roman;serif"/>
          <w:b w:val="false"/>
          <w:color w:val="000000"/>
          <w:sz w:val="20"/>
          <w:shd w:fill="FFFFFF" w:val="clear"/>
        </w:rPr>
        <w:t>buprenorphine hydrochloride, is classified as a Schedule III controlled substance</w:t>
      </w:r>
      <w:r>
        <w:rPr>
          <w:rFonts w:ascii="Times New Roman;serif" w:hAnsi="Times New Roman;serif"/>
          <w:b w:val="false"/>
          <w:color w:val="000000"/>
          <w:sz w:val="20"/>
        </w:rPr>
        <w:t>. A number of states also independently regulate these drugs, including oxycodone, tapentadol, methylphenidate and</w:t>
      </w:r>
      <w:r>
        <w:rPr>
          <w:color w:val="000000"/>
          <w:shd w:fill="FFFFFF" w:val="clear"/>
        </w:rPr>
        <w:t xml:space="preserve"> </w:t>
      </w:r>
      <w:r>
        <w:rPr>
          <w:rFonts w:ascii="Times New Roman;serif" w:hAnsi="Times New Roman;serif"/>
          <w:b w:val="false"/>
          <w:color w:val="000000"/>
          <w:sz w:val="20"/>
          <w:shd w:fill="FFFFFF" w:val="clear"/>
        </w:rPr>
        <w:t>buprenorphine</w:t>
      </w:r>
      <w:r>
        <w:rPr>
          <w:rFonts w:ascii="Times New Roman;serif" w:hAnsi="Times New Roman;serif"/>
          <w:b w:val="false"/>
          <w:color w:val="000000"/>
          <w:sz w:val="20"/>
        </w:rPr>
        <w:t xml:space="preserve">, as controlled substances. We and our suppliers, manufacturers, contractors, customers and distributors are required to obtain and maintain applicable registrations from state and federal law enforcement and regulatory agencies and comply with state and federal laws and regulations regarding the manufacture, use, sale, importation, exportation and distribution of controlled substances.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Furthermore, the amount of Schedule II substances that can be obtained for clinical trials and commercial distribution is limited by the CSA and DEA regulations. For more information, refer to the section entitled “Business — Government Regulation — DEA and Opioid Regulation.” We may not be able to obtain sufficient quantities of these controlled substances in order to meet commercial demand. If commercial demand for Xtampza ER, the Nucynta Products or Jornay PM, increases and we cannot meet such demand in a timely fashion because of our limited supply of their active pharmaceutical ingredients, then physicians may perceive such product as unavailable and may be less likely to prescribe it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controlled substances are also subject to regulations governing manufacturing, labeling, packaging, testing, dispensing, production and procurement quotas (for Schedule I and II substances), recordkeeping, reporting, handling, shipment and disposal. These regulations increase the personnel needs and the expense associated with commercialization of our products that include controlled substances. The DEA and some states conduct periodic inspections of registered establishments that handle controlled substances.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Failure to obtain and maintain required registrations or to comply with any applicable regulations could delay or preclude us from manufacturing and commercializing our products that contain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our products containing controlled substances.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Current and future legislation and regulatory changes may increase the difficulty and cost for us to continue to commercialize our products and may reduce the prices we are able to obtain for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 number of legislative and regulatory changes and proposed changes regarding the healthcare system generally, and the manufacturing, distribution, and marketing of opioids in particular, that could affect our ability to commercialize our products. For example, several states, including New York, have imposed taxes or fees on the sale of opioids. Other states, and even the federal government, could impose similar taxes or fees, and such laws and proposals can vary in the tax and fee amounts imposed and the means of calculation. Liabilities for taxes or assessments under any such laws could have an adverse impact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California and several other states have enacted legislation related to prescription drug pricing transparency and it is unclear the effect this legislation will have on our business. Laws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may continue the downward pressure on pharmaceutical pricing, especially under the Medicare program, and may also increase our regulatory burdens and operating costs.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of our products may be.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In addition, increased scrutiny by the U.S. Congress of the FDA’s approval process may subject us to more stringent product labeling and post-marketing testing and other requirements.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Proponents of drug reimportation may attempt to pass legislation that would directly allow reimportation under certain circumstances. For example, by Executive Order, the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changes in the leadership and funding of the FDA, CMS, NIH and other federal agencies under the Trump Administration as well as regulatory reforms that may be proposed or implemented by the Trump Administration may have a material effect on how pharmaceutical products are regulated.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regulations that govern marketing approvals, pricing and reimbursement for drug products can vary widely. Current and future legislation may significantly change these approval requirements in ways that could involve additional costs and cause delays in obtaining approvals. Pricing limitations may hinder our ability to recoup our investment in our products. Refer to the sections entitled “Business — Government Regulation — Third-Party Payor Coverage and Reimbursement” and “ — Healthcare Reform” for more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market and sell any product successfully will also depend in part on the extent to which coverage and adequate reimbursement for these products and related treatments are available from government health administration authorities, private health insurers and other organizations. Government authorities and third-party payors determine which medications they will cover and establish reimbursement levels and tiers of preference based on the perceived value and innovation of a given product. A primary trend in the U.S. healthcare industry and elsewhere is cost containment. Government authorities and other third-party payors have attempted to control costs by limiting coverage and the amount of reimbursement for particular medications and establishing administrative hurdles that incentivize use of generic and/or lower cost products first. Increasingly, third-party payors are requiring that drug companies provide them with discounts and rebates from list prices and are challenging the prices charged for medical products. We have agreed to provide such discounts and rebates to certain third-party payors. We expect increasing pressure to offer larger discounts and rebates. Additionally, a greater number of third-party payors may seek discounts and rebates in order to offer or maintain access for our products, particularly in light of heightened governmental scrutiny of prescription drug pricing and reimbursement practices. We cannot be sure that high-quality coverage and reimbursement will be available for any product that we commercialize and, if reimbursement is available, what the level of reimbursement will be and whether it will be satisfactory.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(including those required under the Inflation Reduction Act and similar legislation) and by any future relaxation of laws that presently restrict imports of drugs from countries where they may be sold at lower prices.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inability to expand and maintain coverage and profitable reimbursement rates from both government-funded and private payors for our products could have a material adverse effect on our operating results, our ability to raise capital needed to continue to commercialize our products and our overall financial condition.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Affordable Care Act and any changes in healthcare law may increase the difficulty and cost for us to continue to commercialize our products and affect the prices we may obtain.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and many foreign jurisdictions have enacted or proposed legislative and regulatory changes affecting the healthcare system that may affect our ability to profitably sell our products, including implementing cost-containment programs to limit the growth of government-paid healthcare costs, including price controls, restrictions on reimbursement and requirements for substitution of generic products for branded prescription drugs.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judicial, administrative, executive and legislative efforts to modify or eliminate the Affordable Care Act, and the Affordable Care Act has also been subject to challenges in the courts. Refer to the section entitled “Business — Government Regulation — Healthcare Reform.”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changes to and under the Affordable Care Act remain possible. It is unknown what form any such changes or any law proposed to replace the Affordable Care Act would take, and how or whether it may affect our business in the future. We expect that additional changes to the Affordable Care Act, the Medicare and Medicaid programs, implementation of the Inflation Reduction Act of 2022, including Medicare drug price negotiation, rebate and Part D redesign provisions, and changes stemming from other healthcare reform measures, including any new regulatory measures proposed or implemented by the Trump Administration, especially with regard to healthcare access and cost, as well as other legislation in individual states, could have a material adverse effect on the healthcare industry.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reduction in reimbursement from Medicare, Medicaid, or other government programs or other efforts to lower prescription drug costs may result in a similar reduction in payments from private payors. The implementation of cost containment measures or other healthcare reforms may prevent us from being able to generate revenue and maintain profitability.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Social issues around the abuse of opioids and stimulants, including law enforcement concerns over diversion of opioids and regulatory and enforcement efforts to combat abuse, could decrease the potential market for our products and may adversely impact external investor perceptions of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Law enforcement and regulatory agencies may apply policies and guidelines that seek to limit the availability or use of opioids and stimulants. Such efforts may inhibit our ability to continue to commercialize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Aggressive enforcement and unfavorable publicity regarding, for example, the use or misuse of oxycodone or other opioid drugs; the limitations of abuse-resistant formulations; the ability of people who abuse drugs to discover previously unknown ways to abuse opioid drugs and stimulants, including Xtampza ER, the Nucynta Products, Belbuca and Jornay PM; public inquiries and investigations into prescription drug abuse; litigation; or regulatory activity regarding sales, marketing, distribution or storage of opioid and stimulant drugs could have a material adverse effect on our reputation. Such negative publicity could reduce the potential size of the market for our products, decrease the revenues we are able to generate from their sale and adversely impact external investor perceptions of our business. Similarly, to the extent opioid and stimulant abuse becomes less prevalent or less urgent of a public health issue, regulators and third-party payors may not be willing to pay a premium for abuse-deterrent formulations of opioids.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Federal laws have been enacted to address the national epidemics of prescription opioid abuse and illicit opioid use, including the Comprehensive Addiction and Recovery Act and the Substance Use-Disorder Prevention that Promotes Opioid Recovery and Treatment for Patients and Communities Act. These laws are described in more detail under the section entitled “Business — Government Regulation — DEA and Opioid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the FDA or other applicable regulatory authorities approve generic products with claims that compete with our products, our sales could decline.</w:t>
      </w:r>
    </w:p>
    <w:p>
      <w:pPr>
        <w:pStyle w:val="TextBody"/>
        <w:bidi w:val="0"/>
        <w:spacing w:lineRule="auto" w:line="288" w:before="0" w:after="200"/>
        <w:jc w:val="left"/>
        <w:rPr/>
      </w:pPr>
      <w:r>
        <w:rPr>
          <w:rFonts w:ascii="Times New Roman;serif" w:hAnsi="Times New Roman;serif"/>
          <w:b w:val="false"/>
          <w:color w:val="000000"/>
          <w:sz w:val="20"/>
        </w:rPr>
        <w:t xml:space="preserve">Once an NDA, including a Section 505(b)(2) application, is approved, the product covered thereby becomes a “listed drug” which can, in turn, be cited by potential competitors in support of approval of an ANDA. The Federal Food, Drug, and Cosmetic Act, FDA regulations and other applicable regulations and policies provide incentives to manufacturers to create modified, non-infringing versions of a drug to facilitate the approval of an ANDA or other application for generic substitutes. These generic equivalents would be significantly less costly than ours to bring to market and companies that produce generic equivalents are generally able to offer their products at lower prices. Additionally, under the Food and Drug Omnibus Reform Act of 2022, FDA will assign therapeutic equivalence ratings for certain prescription drugs approved via the Section 505(b)(2) NDA pathway with respect to other approved drug products and it is unclear how assignment of these ratings will impact the market opportunity for our products. Thus, after the introduction of a generic competitor, a significant percentage of the sales of any branded product are typically lost to the generic product. Accordingly, competition from generic equivalents to our products would substantially limit our ability to generate revenues and therefore, to obtain a return on the investments we have made in our products. In the past, we have initiated litigation with generic competitors that have filed Paragraph IV Certifications challenging certain of our patents. While we have entered into settlement agreements with certain competitors, we are currently pursuing litigation to defend against Paragraph IV Certifications related to Belbuca. Refer to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to our consolidated financial statements included in Part IV of this Annual Report on Form 10-K. We believe that we will continue to be subject to ANDA-related litigation, which can be costly and distracting and has the potential to impact the long-term value of our products.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sought in the past, and may seek in the future, FDA pediatric exclusivity for some of our products. Pediatric exclusivity, if granted, adds six months of patent term and marketing exclusivity to existing exclusivity periods for all formulations, dosage forms, and indications for the active moiety, provided that at the time pediatric exclusivity is granted there is not less than nine months of term remaining. The regulatory exclusivity period for Nucynta IR in the United States has been extended through July 3, 2026, following the grant of New Patient Population exclusivity in pediatrics by the FDA in August 2023 based on data from pediatric trials which were submitted in response to the FDA's Pediatric Written Request (the “Written Request”) to evaluate the use of Nucynta as a treatment for pain in pediatric patients aged 6 years and older. In June 2024, we announced that the FDA deemed these data to be responsive to its Written Request, granting pediatric exclusivity to the entire Nucynta franchise for an additional six months, to December 27, 2025 for Nucynta ER and January 3, 2027 for Nucynta IR. While we have received pediatric exclusivity for the products, there is no guarantee that we will maintain such exclusivity. Further, we have entered into an authorized generic agreement with Hikma Pharmaceuticals USA Inc. (“Hikma”), pursuant to which we granted Hikma certain rights relating to an authorized generic version of the Nucynta Products in the United States. In January 2026, a generic equivalent of Nucynta IR 50mg, 75mg and 100mg tablets was approved under an ANDA filed by a third party with the FDA, which carves out pediatric use from its label. As a result of the anticipated launch of the third-party generic equivalent of Nucynta IR, Hikma launched a generic version of Nucynta IR on February 25, 2026. Hikma is expected to launch a generic version of Nucynta ER in the first quarter of 2026. These authorized generics and any other generic entrants into the market may impact our net revenue for the Nucynta Products.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November 2017, the FDA issued a final guidance to assist the industry in the development of generic versions of approved opioids with abuse-deterrent formulations, including recommendations about the types of studies that companies should conduct to demonstrate that the generic drug is no less abuse-deterrent than its brand-name counterpart. In the second half of 2018, the FDA posted three revised product-specific guidances related to generic abuse-deterrent opioid formulations, including one guidance specifically relating to Xtampza ER, which recommended specific in vivo studies and in vitro study considerations for abuse deterrence evaluations. These guidances are part of the FDA’s wider focus on assisting developers of generic abuse-deterrent formulations in navigating the regulatory path to market more quickly. Earlier market entry of generic abuse-deterrent formulations could have a material adverse effect on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Additionally, the Creating and Restoring Equal Access to Equivalent Samples Act (the “CREATES Act”), was enacted in 2019 requiring sponsors of approved drugs to provide sufficient quantities of product samples on commercially reasonable, market-based terms to entities developing generic drugs.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the third-party manufacturers of our products fail to devote sufficient time and resources to these products, or their performance is substandard, and/or we encounter challenges with our dedicated manufacturing suite at our third-party manufacturer’s site for the manufacturing of Xtampza ER, our costs may be higher than expected and could have a material adverse effect on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do not own any manufacturing facilities in drug development and commercial manufacturing. We currently have no plans to build our own clinical or commercial scale manufacturing facility and do not have the resources and expertise to manufacture and test, on a commercial scale, the technical performance of our products. We currently rely, and expect to continue to rely, on a limited number of experienced personnel and contract manufacturers for our products, as well as other vendors to formulate, test, supply, store and distribute our products, and we control only certain aspects of their activities.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is manufactured in a dedicated suite at a site operated by our contract manufacturing organization, Patheon, part of Thermo Fisher Scientific. This facility requires the maintenance of regulatory approvals and other costs, all of which we absorb. We cannot guarantee that we will be able to continue to leverage the dedicated manufacturing suite in a profitable manner. If the demand for Xtampza ER and any future related products never meets our expectations and forecasts, or if we do not produce the output we plan, we may not be able to realize the return on investment we anticipated, which would have a negative impact on our financial condition and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identified alternate sources for these services, it would be time-consuming, and require us to incur additional costs, to qualify these sources. Our reliance on a limited number of vendors and, in particular, Patheon as our single manufacturer for Xtampza ER and Nucynta ER, exposes us to the following risks, any of which could impact commercialization of our products, result in higher costs, or deprive us of potential product revenues: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 manufacturers,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may be affected by natural disasters that interrupt or prevent manufacturing of our products, may experience shortages of qualified personnel to adequately staff production operations, may experience shortages of raw materials and may have difficulties finding replacement parts or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 manufacturers could default on their agreements with us to meet our requirements for commercial supplies of our products and/or we could experience technical problems in the operation of our dedicated manufacturing suite;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alternate manufacturers may be difficult because the number of potential manufacturers that have the necessary governmental licenses to produce narcotic products is limited. Additionally, the FDA and the DEA must approve any alternative manufacturer of our products, before we may use the alternative manufacturer to produce commercial supplies;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It may be difficult or impossible for us to find a replacement manufacturer on acceptable terms quickly, or at all. Our contract manufacturers and vendors may not perform as agreed or may not remain in the contract manufacturing business for the time required to produce, store and distribute our products successfully;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If our contract manufacturers were to terminate our arrangements or fail to meet our commercial manufacturing demands, we may be forced to delay our development and commercial programs.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obtain the necessary active pharmaceutical ingredients, excipients or components necessary to manufacture our products could adversely affect our ability to continue to commercialize our products, which could in turn adversely affect our results of operations and financial condition. Likewise, the inability of any of our sole or limited suppliers to provide components that meet our specifications and requirements could adversely impact our ability to manufacture our products. In addition, DEA regulations, through the quota procurement process, limit the amount of DEA-controlled active pharmaceutical ingredient we have available for manufacture. Consequently, we are limited in our ability to maintain an appreciable safety stock of finished drug product. Recently, the ADHD market has encountered several supply chain interruptions, due to, among other items, limited DEA quota of methylphenidate hydrochloride, creating a shortage in supply of ADHD medication. In June 2024, the U.S. Centers for Disease Control and Prevention issued an official health advisory warning, noting that patients who rely on prescription stimulant medications to treat ADHD could experience a disruption to their treatment and disrupted access to care while the shortage persists. On October 2, 2025, the DEA increased the aggregate production quota for methylphenidate in response to comments it had received regarding the prior DEA action resulting in shortage conditions for methylphenidate. It is unknown whether this increase will be effective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resolving prior supply chain disruptions and shortage conditions. While Jornay PM has not experienced these issues to date, there is no assurance that we will not experience these issues related to Jornay PM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reduces our control over our manufacturing and commercialization activities but does not relieve us of our responsibility to ensure compliance with all required legal, regulatory and scientific standards. The FDA and other regulatory authorities require our products to be manufactured according to Current Good Manufacturing Practice regulations promulgated by the FDA (“cGMP”). Any failure by our third-party manufacturer to comply with cGMP or failure to scale up manufacturing processes, including any failure to deliver sufficient quantities of products in a timely manner, could lead to inspection deficiencies, a shortage of commercial product, recalls, market withdrawals, or potential products liability exposure for any noncompliant distributed products. Such failure could also be the basis for the FDA to issue a warning or untitled letter, withdraw approvals for products previously granted to us, or take other regulatory or legal action, including recall or seizure, total or partial suspension of production, refusal to approve pending applications or supplemental applications, detention of product, refusal to permit the import or export of products, injunction, imposing civil penalties or pursuing criminal prosecution. Additionally, under the Food and Drug Omnibus Reform Act of 2022 (“FDORA”), sponsors of approved drugs and biologics must provide 6 months’ notice to the FDA of any changes in marketing status, such as the withdrawal of a drug, and failure to so could result in the FDA placing the product on a list of discontinued products, which would revoke the product’s ability to be marketed.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stock out, or failure to obtain sufficient supplies of any of our products, or the necessary active pharmaceutical ingredients, excipients or components necessary to manufacture each of our products, could adversely affect our ability to commercialize such products, which could in turn adversely affect our results of operations and financial condition.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Because we currently rely on a sole supplier or limited number of suppliers to manufacture the active pharmaceutical ingredient of our products, any production problems with any of these suppliers could have a material adverse effect on us.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rely on a sole supplier or limited number of suppliers to manufacture the active pharmaceutical ingredients of our products. We contract with these suppliers for commercial supply to manufacture our products. Further, our suppliers of the active pharmaceutical ingredients for Xtampza ER and the Nucynta Products also supply our primary competitor in the extended-release oxycodone space, Purdue. Additionally, we have entered into a manufacturing agreement with Hikma pursuant to which we will supply Hikma its total requirements of the authorized generic Nucynta Products for Hikma’s commercialization and we will be responsible for all aspects of commercial manufacturing of the authorized generic Nucynta Products, including sourcing of active pharmaceutical ingredients and managing the contract manufacturer and supply chain vendors. Identifying alternate sources of active pharmaceutical ingredients for our products is generally time-consuming and costly. Any changes that our suppliers make to the respective drug substance raw materials, intermediates, or manufacturing processes would introduce technical and regulatory risks to our downstream drug product supply. If our suppliers were to terminate an arrangement for an active pharmaceutical ingredient, or fail to meet our supply needs (including as a result of any disruptions in personnel or the global supply chain), we might incur substantial costs and be forced to delay our development or commercialization programs. Any such delay could have a material adverse effect on our business.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Supply chain disruptions and shortages may limit manufacturing and commercial supply of our products and have a material impact on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are currently global supply chain disruptions and shortages caused by a variety of factors, including geopolitical turmoil, and changes in domestic and foreign trade policy, including tariffs. While we and our suppliers are still able to receive sufficient inventory of the key materials and components needed, we could experience pressure on our supply chain, including shipping delays, higher prices from suppliers, and reduced availability of materials, including excipients and packaging components. To date, supply chain interruptions have not had a material impact on our results of operations. However, if these disruptions and shortages continue, we may in the future experience a material interruption to our supply chain. Such an interruption could have a material adverse impact on our business, including but not limited to, our ability to timely manufacture and distribute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Manufacturing issues may arise that could increase product and regulatory approval costs, delay commercialization or limit commercial supply.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our current commercial manufacturing operations, and as we scale up manufacturing of our products and conduct required stability testing, we may encounter product, packaging, equipment and process-related issues that may require refinement or resolution in order to successfully commercialize our products. In the future, we may identify impurities, which could result in increased scrutiny by regulatory authorities, delays in our clinical programs and regulatory approval, increases in our operating expenses, failure to obtain or maintain approval or limitations in our commercial supply.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depend on wholesale pharmaceutical distributors for retail distribution of our products; if we lose any of our significant wholesale pharmaceutical distributors or their distribution network is disrupted, our financial condition and results of operations may be adversely affected.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significant percentage of our product shipments are to three of our wholesale pharmaceutical distributors. Our loss of any of these wholesale pharmaceutical distributors’ accounts, or a material reduction in their purchases or a significant disruption to transportation infrastructure or other means of distribution of our products, could have a material adverse effect on our business, results of operations, financial condition and prospects. The significance of each wholesale pharmaceutical distributor account to our business adversely impacts our ability to negotiate favorable commercial terms with each such distributor, and as a result, we may be forced to accept terms that adversely impact our 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these wholesaler customers comprise a significant part of the distribution network for pharmaceutical products in the United States. This distribution network has undergone, and may continue to undergo, significant consolidation marked by mergers and acquisitions. As a result, a small number of large wholesale distributors control a significant share of the market. Consolidation of drug wholesalers has increased, and may continue to increase, competitive and pricing pressures on pharmaceutical products. We cannot guarantee that we can manage these pricing pressures or that wholesaler purchases will not fluctuate unexpectedly from period to period.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Certain of our opioid products are subject to post-marketing requirements or commitments, which may, in some cases, not be capable of timely or satisfactory completion without participation in consortia over which we have limited control.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certain of our products, we are subject to post-marketing requirements to conduct epidemiological studies and clinical trials, or, in some cases, to conduct post-marketing surveillance or observational studies to gather additional information about our products. For our opioid products, we generally intend to fulfill our post-marketing requirements (“PMRs”) by virtue of our participation in the Opioid PMR Consortium (“OPC”). Although we retain discretion in how to discharge such PMRs, the scale and scope of the studies required by the FDA make it cost prohibitive to discharge these requirements other than by joining the OPC that was formed to conduct them. We are a member of the OPC and engage in decision-making as a member of that organization, but do not have a majority. If the OPC fails to conduct sufficiently rigorous studies or is unable to achieve the patient enrollment or other requirements established by the FDA, we may be unable to satisfy our PMRs and the FDA may choose to withdraw or otherwise restrict its approval of our opioid products. Additionally, there may be certain PMRs or post-marketing commitments that we fulfill on our own for our products, including via the conduct of post-marketing surveillance or observational studies. For example, under FDA’s post-marketing requirement 3033-11, holders of NDAs for extended-release and long-acting opioid analgesics to evaluate long-term efficacy of opioid analgesics and the risk of opioid-induced hyperalgesia. If such studies lead to the discovery of adverse findings regarding the safety or benefit profiles of our products, then the FDA may choose to withdraw or otherwise restrict the approval of our products or the FDA or we may determine that labeling changes are warranted based on their finding. Such withdrawal or restriction or labeling changes for our products would have an adverse impact on our business and financial condition.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 and Strategy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not realize all the anticipated benefits from our future acquisitions, and we may be unable to successfully integrate future acquisitions.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growth strategy will, in part, rely on acquisitions. We must plan and manage acquisitions effectively to achieve revenue growth and maintain profitability in our evolving market. We may not realize all the anticipated benefits from our future acquisitions, such as increased earnings, cost savings and revenue enhancements, for various reasons, including difficulties integrating operations and personnel, higher than expected acquisition and operating costs or other difficulties, inexperience with operating in new geographic regions, unknown liabilities, inaccurate reserve estimates and fluctuations in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integrating acquired businesses and properties involves a number of special risks and unforeseen difficulties can arise in integrating operations and systems and in retaining and assimilating employees. These difficulties include, among other things: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operating a larger organization;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coordinating geographically disparate organizations, systems, and facilities;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integrating corporate, technological, and administrative functions;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diverting management’s attention from regular business concerns;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diverting financial resources away from existing operations;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increasing our indebtedness;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incurring potential environmental or regulatory liabilities and title problems.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Any of these or other similar risks could lead to potential adverse short-term or long-term effects on our operating results. The process of integrating our operations could cause an interruption of, or loss of momentum in, the activities of our business. Members of our management may be required to devote considerable amounts of time to this integration process, which decreases the time they have to manage our business. If our management is not able to effectively manage the integration process, or if any business activities are interrupted as a result of the integration process, our business could suffer.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 may be adversely affected by certain events or circumstances outside our control, including macroeconomic conditions and geopolitical turmoil.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Events or circumstances outside of our control, including macroeconomic conditions such as recession or depression, inflation, and declines in consumer-spending could result in reduced demand for our products. An economic downturn could result in business closures, higher levels of unemployment, or declines in consumer disposable income which could have an impact on the number of patients seeking and receiving treatment for conditions that might otherwise result in the prescription of our products, as patients may make efforts to avoid or postpone seeking non-essential medical care to allocate their resources to other priorities or essential items. These circumstances, in addition to the impact of geopolitical turmoil, social unrest, political instability in the United States and elsewhere, terrorism, cyberwarfare or other acts of war, may result in reduced demand for our products and negatively impact our sales, results of operations, and liquidity.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Security breaches and other disruptions to our, or our vendors’, information technology systems may compromise our information and expose us to liability that could adversely impact our financial condition, operations, and reputation.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our collaborators, third-party providers, distributors, customers and other contractors utilize information technology systems and networks (“Systems”) to transmit, store and otherwise process electronic data in connection with our business activities, including our supply chain processes, operations and communications including, in some cases, our business proprietary information, and Electronic Data Interchange (“EDI”) on purchase orders, invoices, chargebacks, among other things. Our Systems, along with those of the third parties whom we rely on to process confidential and sensitive data in a variety of contexts, are potentially vulnerable to a variety of evolving threats that may expose this data to unauthorized persons or otherwise compromise its integrity. These threats may include, but are not limited to, social-engineering attacks (including through phishing attacks), business email compromise, online and offline fraud, malicious code (such as viruses and worms), malware (including as a result of advanced persistent threat intrusions), denial-of-service attacks, access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Like other companies in our industry, we, and third parties related to us, have experienced and will continue to experience threats and cybersecurity incidents relating to our Systems.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expend significant resources to try to protect against these threats to our Systems. Certain data privacy and security laws, as well as industry best practice standards, may require us to implement and maintain security measures. While we have implemented security measures designed to protect our Systems and confidential and sensitive data, there can be no assurance that these measures will be effective. Threat actors and their techniques change frequently, are often sophisticated in nature, and may not be detected until after a security incident has occurred.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and other similar harms. Further, while we maintain cybersecurity insurance, our insurance coverage may not be adequate or sufficient in type or amount to protect us from or to mitigate liabilities arising out of our privacy and security practices.</w:t>
      </w:r>
    </w:p>
    <w:p>
      <w:pPr>
        <w:pStyle w:val="TextBody"/>
        <w:bidi w:val="0"/>
        <w:spacing w:lineRule="auto" w:line="276" w:before="0" w:after="200"/>
        <w:jc w:val="left"/>
        <w:rPr>
          <w:rFonts w:ascii="Times New Roman;serif" w:hAnsi="Times New Roman;serif"/>
          <w:b/>
          <w:i/>
          <w:color w:val="000000"/>
          <w:sz w:val="20"/>
        </w:rPr>
      </w:pPr>
      <w:r>
        <w:rPr>
          <w:rFonts w:ascii="Times New Roman;serif" w:hAnsi="Times New Roman;serif"/>
          <w:b/>
          <w:i/>
          <w:color w:val="000000"/>
          <w:sz w:val="20"/>
        </w:rPr>
        <w:t>The use of artificial intelligence technologies in our business could expose us to significant data privacy and regulatory risks.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integration of artificial intelligence (“AI”) technologies, including generative AI, machine learning, and similar tools, into our operations or by our third-party partners may introduce or heighten various data privacy and security risks. We use and integrate AI primarily to support internal productivity activities, including drafting documents, and other non-clinical, non-operational materials. We do not use our AI systems to make autonomous decisions related to clinical development, patient care, pricing, credit, employment decisions, or other regulated or sensitive activities, and outputs generated using AI are subject to human review and approval prior to any external use or publication. Notwithstanding these controls, the use of AI presents evolving risks, including potential inaccuracies, unintended disclosure of confidential information, intellectual property concerns and cybersecurity risks. The processing or input of sensitive, confidential, competitive, proprietary, or personal data into AI systems, especially those operated by third-party platforms, could result in the unintentional release or leakage of such data. There is a risk that inputted information may be used to train external systems, leading to unauthorized exposure or misuse of data. This could expose us to information security breaches, loss of competitive advantages, and potential violations of privacy standards, all of which may adversely impact our business operations and brand trust.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regulatory environment for AI is rapidly evolving, with new and changing laws and regulations emerging at local, national, and international levels. These include specific rules governing privacy, automated decision-making, and other AI-related activities. Compliance requirements in this area may increase our operational costs, require material changes to our business practices, or restrict certain uses of AI technologies. For example, the EU’s Artificial Intelligence Act (“EU AI Act”), the world’s first comprehensive AI law, entered into force in 2024 and, with some exceptions, will become effective in 2026. This legislation imposes significant obligations on providers and deployers of high-risk AI systems, and encourages providers and deployers of AI systems to account for EU ethical principles in their development and use of these systems. In the future, our development or use of AI systems that are governed by the EU AI Act and/or uncertainty arising from rapidly developing laws and regulations governing AI may necessitate higher standards of data quality, transparency, and human oversight, as well as adhering to specific and potentially burdensome and costly ethical, accountability, and administrative requirements. 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Failure to comply with applicable regulatory standards could result in regulatory investigations, penalties, forced disgorgement of data or insights, and additional constraints on our business, all of which could materially affect our financial results and prospects.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For more information, see “Item 1C. Cybersecurity.”</w:t>
      </w:r>
    </w:p>
    <w:p>
      <w:pPr>
        <w:pStyle w:val="TextBody"/>
        <w:bidi w:val="0"/>
        <w:spacing w:lineRule="auto" w:line="276" w:before="0" w:after="200"/>
        <w:jc w:val="left"/>
        <w:rPr>
          <w:rFonts w:ascii="Times New Roman;serif" w:hAnsi="Times New Roman;serif"/>
          <w:b/>
          <w:i/>
          <w:color w:val="000000"/>
          <w:sz w:val="20"/>
        </w:rPr>
      </w:pPr>
      <w:r>
        <w:rPr>
          <w:rFonts w:ascii="Times New Roman;serif" w:hAnsi="Times New Roman;serif"/>
          <w:b/>
          <w:i/>
          <w:color w:val="000000"/>
          <w:sz w:val="20"/>
        </w:rPr>
        <w:t>Litigation or regulatory action regarding opioid medications could negatively affect our business.</w:t>
      </w:r>
    </w:p>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Beginning in 2018, lawsuits alleging damages related to opioids have been filed naming us as a defendant along with other manufacturers of prescription opioid medications. These lawsuits, filed in multiple jurisdictions, are brought by various local governments as well as private claimants, against various manufacturers, distributors and retail pharmacies. These lawsuits generally allege that we had engaged in improper marketing practices related to Xtampza ER and the Nucynta Products. In March 2022, we entered into a Master Settlement Agreement resolving 27 pending opioid-related lawsuits brought against us by cities, counties, and other subdivisions in the United States. As part of the Master Settlement Agreement, we paid $2.75 million to the plaintiffs and the cases were dismissed, with prejudice. In late March 2023, three new cases were filed in three federal courts, naming us as one of numerous defendants, from which we have been dismissed.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Certain governmental and regulatory agencies are focused on the abuse of opioid medications, a concern we share, and we have received Civil Investigative Demands or subpoenas from four state attorneys general investigating our sales and marketing of opioids and seeking documents relating to the manufacture, marketing and sale of opioid medications.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December 2021, we entered into an Assurance of Discontinuance with the Massachusetts Attorney General pursuant to which we provided certain assurances and agreed to pay certain of the Massachusetts Attorney General’s costs of investigation, in exchange for closure of the investigation and a release of claims pertaining to the subject matter of the investigation. Managing litigation and responding to governmental investigations is costly and may involve a significant diversion of management attention. Such proceedings are unpredictable and may develop over lengthy periods of time. An adverse resolution of any of these lawsuits or investigations may involve injunctive relief or substantial monetary penalties, either or both of which could have a material adverse effect on our reputation, business, results of operations and cash flows.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face substantial competition from other biotechnology and pharmaceutical companies, which may result in others discovering, developing or commercializing products more successfully than we do.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Competition in the pharmaceutical industry is intense. Our competitors include major multinational pharmaceutical companies, biotechnology companies and universities and other research institutions. Belbuca, Xtampza ER, and the Nucynta Products compete with oral opioids, transdermal opioids, local anesthetic patches, implantable and external infusion pumps that can be used for infusion of opioids and local anesthetics, and non-opioid oral analgesic. Products of these types are marketed by Actavis, Endo, Mallinckrodt, Purdue, Teva, Vertex Pharmaceuticals Incorporated (“Vertex”) and others. Jornay PM competes with currently marketed, branded and generic methylphenidate products for the treatment of ADHD. Products of these types are marketed by J&amp;J Innovative Medicines, Supernus Pharmaceuticals, Inc., Tris Pharma, Novartis AG, Noven Therapeutics, LLC, UCB SA, Aytu BioScience, Inc. Adlon Therapeutics, Inc. Some of these current and potential future competitors may be addressing the same therapeutic areas or indications as we are. Many of our current and potential future competitors have significantly greater research and development capabilities than we do, have substantially more marketing, manufacturing, financial, technical, human and managerial resources than we do, and have more institutional experience than we do.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competitors have developed or may develop technologies that are, or may be, the basis for competitive products that are safer, more effective or less costly than our products. For example, in January 2025, Vertex obtained FDA approval for suzetrigine for the treatment of moderate to severe acute pain in adults, representing the first FDA non-opioid oral analgesic approval in nearly 20 years. Entry of new oral analgesics in the marketplace may negatively impact the market demand and acceptability of our opioid analgesic products. Moreover, oral medications, transdermal drug delivery systems, such as drug patches, injectable products and implantable drug delivery devices are currently available treatments for chronic pain, are widely accepted in the medical community and have a long history of use. These treatments will compete with our products and the established use of these competitive products may limit the potential for our products to receive widespread acceptance.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Commercial sales of our products and any products we acquire, may expose us to expensive product liability claims, and we may not be able to maintain product liability insurance on reasonable terms or at all.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currently carry product liability insurance. Product liability claims may be brought against us by patients; healthcare providers; or others using, administering or selling our products. If we cannot successfully defend ourselves against claims that our products caused injuries, we could incur substantial liabilities. We may not be able to maintain insurance coverage at a reasonable cost or in an amount adequate to satisfy any liability that may arise. Regardless of merit or eventual outcome, liability claims may cause us to incur significant costs to defend the litigation.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providers, physicians and payors play a primary role in the recommendation and prescription of our products. Our arrangements with payors and customers may expose us to broadly applicable fraud and abuse and other healthcare laws and regulations that may constrain the business or financial arrangements and relationships through which we market, sell and distribute our products. Even though we do not and will not control referrals of healthcare services or bill Medicare, Medicaid or other third-party payors directly, we may provide reimbursement guidance and support regarding our products to our customers and patients. Federal and state healthcare laws and regulations pertaining to fraud and abuse and patients’ rights are and will be applicable to our business. If a government authority were to conclude that we provided improper advice to our customers and/or encouraged the submission of false claims for reimbursement, we could face action by government authorities. If our operations are found to be in violation of any of these laws or any other governmental regulations that may apply to us, we may be subject to significant civil, criminal and administrative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damages, fines, imprisonment, exclusion from participation in government funded healthcare programs, such as Medicare and Medicaid, and the curtailment or restructuring of our operations. Refer to the section entitled “Business — Government Regulation — Healthcare Fraud and Abuse Laws and Compliance Requirements” for more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We or the third parties upon whom we depend may be adversely affected by natural disasters and/or health epidemics, and our business continuity and disaster recovery plans may not adequately protect us from a serious disaster.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Natural disasters could severely disrupt our operations, and have a material adverse effect on our business, results of operations, financial condition and prospects. If a natural disaster, power outage, health epidemic or other event occurred that prevented us from using all or a significant portion of our facilities, that damaged critical infrastructure, such as the manufacturing facilities of our third-party contract manufacturers, or that otherwise disrupted operations, it might become difficult or, in certain cases, impossible for us to continue our business, and any disruption could last for a substantial period of time.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disaster recovery and business continuity plans we have in place, and the technology that we may rely upon to implement such plans, may prove inadequate in the event of a serious disaster or similar event. We may incur substantial expenses as a result of the limited nature of our disaster recovery and business continuity plans, which could have a material adverse effect on our business, financial condition and results of operation.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Inadequate funding for the FDA, DEA, the SEC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Currently, most federal agencies in the United States are operating under a continuing resolution that funds the federal government through September 30, 2026, including the FDA, DEA and SEC. Without appropriation of additional funding to federal agencies, our business operations related to our product development activities for the United States market could be impacted. The ability of the FDA, SEC and other domestic and foreign government authorities to review and approve new products can be affected by a variety of factors, including government budget and funding levels, ability to hire and retain key personnel, accept the payment of user fees, and statutory, regulatory and policy changes. Future government shutdowns, like the one that occurred in October 2025, could impact our ability to access the public markets and obtain necessary capital in order to properly capitalize and continue our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and the DEA’s regulation of controlled substances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 responsiveness or in its ability to review submissions or applications, issue regulations or guidance, or implement or enforce regulatory requirements in a timely fashion or at all.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 the change in the U.S. presidential administration in 2025, there continues to be substantial uncertainty as to whether and how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continue to commercialize products and as we continue to navigate development and approval of our product candidates. Additionally, the Trump administration could issue or promulgate executive orders, regulations, policies or guidance that adversely affect us or create a more challenging or costly environment to pursue the development of new therapeutic candidates.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price of our common stock may be volatile and you may lose all or part of your investment.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is highly volatile and may be subject to wide fluctuations in response to numerous factors described in these “Risk Factors,” some of which are beyond our control. The stock market in general, and pharmaceutical and biotechnology companies in particular, have experienced extreme price and volume fluctuations. Broad market and industry factors may negatively affect the market price of our common stock, regardless of our business model, prospects or actual operating performance. The realization of any of these risks, or any of a broad range of other risks discussed in this report, could have a material adverse effect on the market price of our common stock.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are subject to anti-takeover provisions in our second amended and restated articles of incorporation and amended and restated bylaws and under Virginia law that could delay or prevent an acquisition of our company, even if the acquisition would be beneficial to our shareholders.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Certain provisions of Virginia law, the state in which we are incorporated, and our second amended and restated articles of incorporation and amended and restated bylaws could hamper a third party’s acquisition of us, or discourage a third party from attempting to acquire control of us. These provisions could limit the price that certain investors might be willing to pay in the future for shares of our common stock. In addition, these provisions make it more difficult for our shareholders to remove our Board of Directors or management or elect new directors to our Board of Directors.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report our financial condition, results of operations or cash flows accurately, which may adversely affect investor confidence in us and, as a result, the value of our 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internal control over financial reporting. We are required, under Section 404 of the Sarbanes-Oxley Act, to furnish a report by management on, among other things, the effectiveness of our internal control over financial reporting.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Further,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capital markets.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Sales of our common stock in the public market, either by us or by our current shareholders, or the perception that these sales could occur, could cause a decline in the market price of our securities. Moreover, the exercise of options and other issuances of shares of common stock or securities convertible into or exercisable for shares of common stock will dilute your ownership interests and may adversely affect the future market price of our 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Sales of our common stock in the public market, either by us or by our current shareholders, or the perception that these sales could occur, could cause a decline in the market price of our securities. All of the shares of our common stock held by our current shareholders may be immediately eligible for resale in the open market either in compliance with an exemption under Rule 144 promulgated under the Securities Act, or pursuant to an effective resale registration statement that we have previously filed with the SEC. Such sales, along with any other market transactions, could adversely affect the market price of our common stock. As of December 31, 2025, there were outstanding options to purchase an aggregate of 559,161 shares of our common stock at a weighted average exercise price of $22.29 per share, of which options to purchase 461,403 shares of our common stock were then exercisable. The exercise of options at prices below the market price of our common stock could adversely affect the price of shares of our common stock. Additional dilution may result from the issuance of shares of our common stock in connection with collaborations or manufacturing arrangements or in connection with other financing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There can be no assurance that we will repurchase additional shares of our common stock at all or at favorable prices.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2024, our Board of Directors authorized a share repurchase program for the repurchase of up to $150.0 million of shares of our common stock through June 30, 2025 (the “2024-2025 Repurchase Program”). The 2024-2025 Repurchase Program permitted us to effect repurchases through a variety of methods, including open-market purchases (including pursuant to a trading plan adopted in accordance with Rule 10b5-1 of the Exchange Act), privately negotiated transactions, or otherwise in compliance with Rule 10b-18 of the Exchange Act. Prior to its expiration, we repurchased 2,704,830 shares at a weighted-average price of $31.43 per share for a total of $85.0 million under the 2024-2025 Repurchase Program.</w:t>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val="false"/>
          <w:color w:val="000000"/>
          <w:sz w:val="20"/>
        </w:rPr>
      </w:pPr>
      <w:r>
        <w:rPr>
          <w:rFonts w:ascii="Times New Roman;serif" w:hAnsi="Times New Roman;serif"/>
          <w:b w:val="false"/>
          <w:color w:val="000000"/>
          <w:sz w:val="20"/>
        </w:rPr>
        <w:t>In July 2025, our Board of Directors authorized a new share repurchase program for the repurchase of up to $150.0 million of shares of our common stock through December 31, 2026 (the “2025-2026 Repurchase Program”). The 2025-2026 Repurchase Program permits us to effect repurchases through a variety of methods, including open-market purchases (including pursuant to a trading plan adopted in accordance with Rule 10b5-1 of the Exchange Act), privately negotiated transactions, or otherwise in compliance with Rule 10b-18 of the Exchange Act. We have not yet purchased any shares under the 2025-2026 Repurchase Program and $150.0 million of shares remained available for repurchase as of December 31, 2025. Share repurchases under the 2025-2026 Repurchase Program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maintain a cybersecurity program designed to assess, identify, and mitigate risks from cybersecurity threats. This program is informed by the five elements of the National Institute of Standards and Technology framework: identify, protect, detect, respond, and recover. We utilize various methods to achieve these objectives including but not limited to company-wide policies and operating procedures, periodic testing, systems monitoring, patch management, and mandatory ongoing employee trainings. Additionally, we partner with third-party experts to conduct periodic penetration tests and to evaluate our information technology infrastructure for vulnerabilities. We also evaluate cybersecurity risks associated with third-party vendors that provide the hosted applications we use in our financial close process through review of their System and Organization Controls (“SOC”) 1 reports at least annually. We continue to invest in our information technology infrastructure and cybersecurity program to strengthen our ability to protect the confidentiality, integrity, and availability of our data and the security of our information systems.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to our cybersecurity program, we assess cybersecurity risks as part of our overall risk management processes, primarily through our annual Enterprise Risk Assessment. Our Enterprise Risk Assessment surveys various employees and leaders throughout our organization with the goal of evaluating our risk landscape, enhancing our overall understanding of risks to our business, and ultimately managing and/or mitigating identified risks. We assess various risks, including cybersecurity related risks, based on the likelihood of an incident occurring, impact to our organization if an incident occurred, and the level of internal control we currently have over the risk. The results are analyzed to identify vulnerabilities and then risk management/mitigation plans are designed, implemented, and evaluated for effectiveness.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event of a cybersecurity incident, we maintain an incident response plan in an effort to contain and mitigate the threat. As part of our incident response plan, our Cybersecurity Incident Response Team (a cross-functional taskforce comprised of senior representatives), is responsible for convening to assess the potential impact to our business, including financial reporting requirements and legal implications.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like other companies in our industry, face a number of cybersecurity risks, including cybersecurity incidents, in connection with our business. Although such risks and incidents have not materially affected us, including our business strategy, results of operations or financial condition, to date, we and/or our vendors have, from time to time, experienced threats to, or security incidents, related to our data and systems or that had the potential to otherwise impact our business. For more information about the cybersecurity risks we face, refer to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 Our Audit Committee, a subcommittee of our Board, is responsible for the oversight of risks from cybersecurity threats. The Audit Committee receives updates at least quarterly from our Head of Information Technology regarding developments in our information technology infrastructure and cybersecurity program. This includes updates, as appropriate, on key information technology initiatives, new and existing cybersecurity risks, how management is managing those risks, and, if any, material cybersecurity incidents and the impact to our business and performance.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At the management level, our Head of Information Technology is responsible for assessing and managing risks from cybersecurity threats through oversight of our information technology infrastructure and cybersecurity program. The individual occupying this role has over 20 years of experience in information technology and cybersecurity and has served in senior cybersecurity leadership positions for over 10 years. Our Head of Information Technology conducts bi-weekly meetings with our information technology department to remain apprised of cybersecurity matters. In the event of a cybersecurity incident, our Head of Information Technology may inform our Executive Vice President and Head of Technological Operations and/or Audit Committee, depending on the severity of the incident in accordance with the established severity and response matrix as defined in our incident response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Stoughton, Massachusetts, where we lease 50,678 square feet of office and laboratory space. We use this facility for commercial and general and administrative purposes. The corporate headquarters lease expires in September 2029 and the lease term may be extended for two additional five-year terms at our election.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facilities are adequate for our current and expected future needs. We may seek to negotiate new leases or evaluate additional or alternate space for our operations. We believe that appropriate alternative space is readily available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0" w:after="200"/>
        <w:jc w:val="left"/>
        <w:rPr/>
      </w:pPr>
      <w:r>
        <w:rPr>
          <w:rFonts w:ascii="Times New Roman;serif" w:hAnsi="Times New Roman;serif"/>
          <w:b w:val="false"/>
          <w:color w:val="000000"/>
          <w:sz w:val="20"/>
        </w:rPr>
        <w:t xml:space="preserve">Discussion of legal matters is incorporated by reference from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Consolidated Financial Statements included in Item 8 of Part 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has been publicly traded on the NASDAQ Global Select Market under the symbol “COLL” since May 7, 2015. Prior to May 7, 2015, there was no public trading market for our common stock.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January 31, 2026, there were 11 holders of record of our common stock. The number of holders of record does not include beneficial owners whose shares are held by nominees in street name.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and we do not expect to pay any cash dividends on our common stock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graph sets forth the Company’s total cumulative shareholder return as compared to the NASDAQ Composite Index and the NASDAQ Biotechnology Index for the 5-year period beginning on December 31, 2020 through December 31,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Total cumulative shareholder return assumes an investment of $100.00 in cash in our common stock at the beginning of the 5-year period compared to the same investment in the NASDAQ Composite Index and the NASDAQ Biotechnology Index. Such returns are based on historical results and are not intended to suggest future performance. Data for the NASDAQ Composite Index and NASDAQ Biotechnology Index assume reinvestment of dividends, however no dividends have been declared on our common stock to date.</w:t>
      </w:r>
    </w:p>
    <w:p>
      <w:pPr>
        <w:pStyle w:val="TextBody"/>
        <w:bidi w:val="0"/>
        <w:spacing w:before="0" w:after="200"/>
        <w:jc w:val="center"/>
        <w:rPr/>
      </w:pPr>
      <w:r>
        <w:rPr/>
        <w:drawing>
          <wp:inline distT="0" distB="0" distL="0" distR="0">
            <wp:extent cx="5848350" cy="3200400"/>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3"/>
                    <a:stretch>
                      <a:fillRect/>
                    </a:stretch>
                  </pic:blipFill>
                  <pic:spPr bwMode="auto">
                    <a:xfrm>
                      <a:off x="0" y="0"/>
                      <a:ext cx="5848350" cy="3200400"/>
                    </a:xfrm>
                    <a:prstGeom prst="rect">
                      <a:avLst/>
                    </a:prstGeom>
                  </pic:spPr>
                </pic:pic>
              </a:graphicData>
            </a:graphic>
          </wp:inline>
        </w:drawing>
      </w:r>
      <w:bookmarkStart w:id="1" w:name="i-2"/>
      <w:bookmarkEnd w:id="1"/>
    </w:p>
    <w:tbl>
      <w:tblPr>
        <w:tblW w:w="6564" w:type="dxa"/>
        <w:jc w:val="center"/>
        <w:tblInd w:w="0" w:type="dxa"/>
        <w:tblLayout w:type="fixed"/>
        <w:tblCellMar>
          <w:top w:w="28" w:type="dxa"/>
          <w:left w:w="28" w:type="dxa"/>
          <w:bottom w:w="28" w:type="dxa"/>
          <w:right w:w="28" w:type="dxa"/>
        </w:tblCellMar>
      </w:tblPr>
      <w:tblGrid>
        <w:gridCol w:w="1211"/>
        <w:gridCol w:w="1065"/>
        <w:gridCol w:w="1069"/>
        <w:gridCol w:w="109"/>
        <w:gridCol w:w="109"/>
        <w:gridCol w:w="109"/>
        <w:gridCol w:w="255"/>
        <w:gridCol w:w="873"/>
        <w:gridCol w:w="132"/>
        <w:gridCol w:w="109"/>
        <w:gridCol w:w="109"/>
        <w:gridCol w:w="109"/>
        <w:gridCol w:w="253"/>
        <w:gridCol w:w="867"/>
        <w:gridCol w:w="185"/>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$100 investment in stock or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w:t>
              <w:br/>
              <w:t>2025</w:t>
            </w:r>
          </w:p>
        </w:tc>
      </w:tr>
      <w:tr>
        <w:trPr/>
        <w:tc>
          <w:tcPr>
            <w:tcW w:w="334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Collegium Pharmaceutical, Inc. (COLL)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231.15 </w:t>
            </w:r>
          </w:p>
        </w:tc>
        <w:tc>
          <w:tcPr>
            <w:tcW w:w="18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 Index (IXIC)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NASDAQ Biotechnology Index (NBI)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performance graph and related information shall not be deemed to be “soliciting material” or to be “filed” with the SEC, nor shall such information be incorporated by reference into any future filing under the Securities Act, except to the extent that we specifically incorporate it by reference into such filing.</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shares of common stock repurchased under our repurchase program authorized by our Board of Directors in July 2025 (the “2025-2026 Repurchase Program”), as well as shares transferred to us from employees in satisfaction of minimum tax withholding obligations associated with the vesting of performance share units and restricted stock units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833"/>
        <w:gridCol w:w="624"/>
        <w:gridCol w:w="631"/>
        <w:gridCol w:w="576"/>
        <w:gridCol w:w="576"/>
        <w:gridCol w:w="578"/>
        <w:gridCol w:w="109"/>
        <w:gridCol w:w="109"/>
        <w:gridCol w:w="109"/>
        <w:gridCol w:w="280"/>
        <w:gridCol w:w="818"/>
        <w:gridCol w:w="144"/>
        <w:gridCol w:w="109"/>
        <w:gridCol w:w="109"/>
        <w:gridCol w:w="109"/>
        <w:gridCol w:w="691"/>
        <w:gridCol w:w="691"/>
        <w:gridCol w:w="693"/>
        <w:gridCol w:w="109"/>
        <w:gridCol w:w="109"/>
        <w:gridCol w:w="109"/>
        <w:gridCol w:w="367"/>
        <w:gridCol w:w="1443"/>
        <w:gridCol w:w="279"/>
      </w:tblGrid>
      <w:tr>
        <w:trPr/>
        <w:tc>
          <w:tcPr>
            <w:tcW w:w="83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7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w:t>
            </w:r>
          </w:p>
          <w:p>
            <w:pPr>
              <w:pStyle w:val="TableContents"/>
              <w:bidi w:val="0"/>
              <w:spacing w:lineRule="auto" w:line="240" w:before="0" w:after="0"/>
              <w:jc w:val="center"/>
              <w:rPr/>
            </w:pPr>
            <w:r>
              <w:rPr>
                <w:rFonts w:ascii="Times New Roman;serif" w:hAnsi="Times New Roman;serif"/>
                <w:b/>
                <w:color w:val="000000"/>
                <w:sz w:val="20"/>
              </w:rPr>
              <w:t xml:space="preserve">publicly announced plans or programs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of</w:t>
              <w:br/>
              <w:t>Shares that may yet be purchased</w:t>
              <w:br/>
              <w:t>under the plans or programs</w:t>
              <w:br/>
              <w:t>(in thousands)</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through October 31, 2025</w:t>
            </w:r>
          </w:p>
        </w:tc>
        <w:tc>
          <w:tcPr>
            <w:tcW w:w="173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4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through November 30, 2025</w:t>
            </w:r>
          </w:p>
        </w:tc>
        <w:tc>
          <w:tcPr>
            <w:tcW w:w="173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through December 31, 2025</w:t>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730"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19,656</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8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4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6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7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2025-2026 Repurchase Program was announced on July 1, 2025. The 2025-2026 Repurchase Program provided for the repurchase of up to $150.0 million of outstanding shares of our common stock at any time or times through December 31, 2026.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difference, if any, between the total number of shares purchased and the total number of shares purchased as part of a publicly announced program relates to common stock withheld by us for employees to satisfy their tax withholding obligations arising upon the vesting of performance share units and restricted stock units granted under our Amended and Restated 2014 Stock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00"/>
        <w:jc w:val="left"/>
        <w:rPr/>
      </w:pPr>
      <w:r>
        <w:rPr>
          <w:rFonts w:ascii="Times New Roman;serif" w:hAnsi="Times New Roman;serif"/>
          <w:b w:val="false"/>
          <w:color w:val="000000"/>
          <w:sz w:val="20"/>
        </w:rPr>
        <w:t>You should read the following discussion and analysis of our financial condition and results of operations together with our consolidated financial statements and related notes appearing elsewhere in this Form 10</w:t>
      </w:r>
      <w:r>
        <w:rPr>
          <w:rFonts w:ascii="Cambria Math;serif" w:hAnsi="Cambria Math;serif"/>
          <w:b w:val="false"/>
          <w:color w:val="000000"/>
          <w:sz w:val="20"/>
        </w:rPr>
        <w:t>-</w:t>
      </w:r>
      <w:r>
        <w:rPr>
          <w:rFonts w:ascii="Times New Roman;serif" w:hAnsi="Times New Roman;serif"/>
          <w:b w:val="false"/>
          <w:color w:val="000000"/>
          <w:sz w:val="20"/>
        </w:rPr>
        <w:t xml:space="preserve">K. The following discussion contains forward-looking statements that involve risks, uncertainties and assumptions. Our actual results and the timing of certain events could differ materially from those anticipated in these forward-looking statements as a result of many factors. We discuss factors that we believe could cause or contribute to these differences below and elsewhere in this Form 10-K, including those set forth under “Forward-looking Statements” and “Risk Factors,” as revised and supplemented by those risks described from time to time in other reports which we file with the SEC.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for the year ended December 31, 2025 as compared to December 31, 2024 are discussed below. For a discussion of the year ended December 31, 2024 compared to the year ended December 31, 2023, refer to Part II, Item 7, “Management’s Discussion and Analysis of Financial Condition and Results of Operations”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mission is to build a leading, diversified biopharmaceutical company committed to improving the lives of people living with serious medical conditions. We have developed, licensed, and acquired a portfolio of meaningfully differentiated products for use in the treatment of attention deficit hyperactivity disorder (“ADHD”) and moderate to severe pain. We commercialize our products, consisting of Jornay PM, Belbuca, Xtampza ER, Nucynta ER and Nucynta IR (collectively the “Nucynta Products”), and Symproic,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Jornay PM is a central nervous system (“CNS”) stimulant prescription medicine that contains methylphenidate HCl, a Schedule II methylphenidate, which was approved by the U.S. Food and Drug Administration (“FDA”) in August 2018 for the treatment of ADHD in people six years of age and older and currently the only FDA-approved stimulant medication that is dosed in the evening. We began recognizing product revenue related to Jornay PM in September 2024 following our acquisition of Ironshore Therapeutics Inc. (“Ironshore”) (the “Ironshore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Belbuca is a buccal film that contains buprenorphine, a Schedule III opioid, and was approved by the FDA in October 2015 for severe and persistent pain that requires an extended treatment period with a daily opioid analgesic and for which alternative options are inadequate. We began shipping and recognizing product revenue related to Belbuca in March 2022 following our acquisition of BioDelivery Sciences International, Inc. (“BDSI”).</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Xtampza ER, an abuse-deterrent, extended-release, oral formulation of oxycodone, is a Schedule II opioid and was approved by the FDA in April 2016 for the management of severe and persistent pain that requires an extended treatment period with a daily opioid analgesic and for which alternative treatment options are inadequate. We commercially launched Xtampza ER in June 2016.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Nucynta Products are extended-release (“ER”) and immediate-release (“IR”) oral formulations of tapentadol, a Schedule II opioid. In November 2008, the FDA approved Nucynta ER and Nucynta IR. Nucynta ER is indicated for the management of severe and persistent pain that requires an extended treatment period with a daily opioid analgesic, including neuropathic pain associated with diabetic peripheral neuropathy in adults, and for which alternate treatment options are inadequate. Nucynta IR is indicated for the management of acute pain severe enough to require an opioid analgesic and for which alternative treatments are inadequate in adults and pediatric patients aged 6 years and older with a body weight of at least 40 kg. We began shipping and recognizing product revenue on the Nucynta Products in January 2018 and began marketing the Nucynta Products in February 2018. In August 2023, the FDA granted New Patient Population exclusivity for Nucynta IR in pediatric patients. This grant extended the period of U.S. exclusivity for Nucynta IR from June 27, 2025 to July 3, 2026. In June 2024, the FDA granted pediatric exclusivity to the Nucynta Products for an additional six months, to January 3, 2027 for Nucynta IR and December 27, 2025 for Nucynta 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have entered into an authorized generic agreement with Hikma Pharmaceuticals USA Inc. (“Hikma”), pursuant to which we granted Hikma rights relating to an authorized generic version of the Nucynta Products in the United States. In January 2026, a generic equivalent of Nucynta IR 50mg, 75mg and 100mg tablets was approved under an abbreviated New Drug Application (“ANDA”) filed by a third party with the FDA, which carves out pediatric use from its label.</w:t>
      </w:r>
      <w:r>
        <w:rPr>
          <w:color w:val="000000"/>
        </w:rPr>
        <w:t xml:space="preserve"> </w:t>
      </w:r>
      <w:r>
        <w:rPr>
          <w:rFonts w:ascii="Times New Roman;serif" w:hAnsi="Times New Roman;serif"/>
          <w:b w:val="false"/>
          <w:color w:val="000000"/>
          <w:sz w:val="20"/>
        </w:rPr>
        <w:t xml:space="preserve">As a result of the anticipated launch of the third-party generic equivalent of Nucynta IR, Hikma launched a generic version of Nucynta IR on February 25, 2026. Hikma is expected to launch a generic version of Nucynta ER in the first quarter of 2026.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Symproic, an oral formulation of naldemedine, was approved by the FDA in March 2017 for the treatment of opioid-induced constipation (“OIC”) in adult patients with chronic non-cancer pain, including patients with chronic pain related to prior cancer or its treatment who do not require frequent (e.g., weekly) opioid dosage escalation. We began shipping and recognizing product revenue related to Symproic in March 2022 following our acquisition of BDSI.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Revenues</w:t>
      </w:r>
    </w:p>
    <w:p>
      <w:pPr>
        <w:pStyle w:val="TextBody"/>
        <w:bidi w:val="0"/>
        <w:spacing w:lineRule="auto" w:line="288" w:before="0" w:after="240"/>
        <w:jc w:val="left"/>
        <w:rPr/>
      </w:pPr>
      <w:r>
        <w:rPr>
          <w:rFonts w:ascii="Times New Roman;serif" w:hAnsi="Times New Roman;serif"/>
          <w:b w:val="false"/>
          <w:color w:val="000000"/>
          <w:sz w:val="20"/>
        </w:rPr>
        <w:t xml:space="preserve">Product revenues through the year ended December 31, 2025 were generated from sales of Jornay PM, Belbuca, Xtampza ER, the Nucynta Products, and Symproic. In accordance with Accounting Standards Codification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product sales are recorded upon delivery of products to customers (upon the transfer of control of the product to the customer), net of a provision for estimated chargebacks, rebates, sales incentives and allowances, distribution service fees, and returns.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Product Revenues</w:t>
      </w:r>
    </w:p>
    <w:p>
      <w:pPr>
        <w:pStyle w:val="TextBody"/>
        <w:bidi w:val="0"/>
        <w:spacing w:lineRule="auto" w:line="288" w:before="0" w:after="240"/>
        <w:jc w:val="left"/>
        <w:rPr/>
      </w:pPr>
      <w:r>
        <w:rPr>
          <w:rFonts w:ascii="Times New Roman;serif" w:hAnsi="Times New Roman;serif"/>
          <w:b w:val="false"/>
          <w:color w:val="000000"/>
          <w:sz w:val="20"/>
        </w:rPr>
        <w:t>Cost of product revenues include amortization and impairment expense for the intangible assets acquired in connection with business combinations and asset acquisitions, royalty expenses, the cost of active pharmaceutical ingredient, the cost of producing finished goods that correspond with revenue for the reporting period, as well as certain period costs related to freight, packaging, stability and quality testing. Refer to Note 5,</w:t>
      </w:r>
      <w:r>
        <w:rPr>
          <w:color w:val="000000"/>
        </w:rPr>
        <w:t xml:space="preserve"> </w:t>
      </w:r>
      <w:r>
        <w:rPr>
          <w:rFonts w:ascii="Times New Roman;serif" w:hAnsi="Times New Roman;serif"/>
          <w:b w:val="false"/>
          <w:i/>
          <w:color w:val="000000"/>
          <w:sz w:val="20"/>
        </w:rPr>
        <w:t>License Agreements</w:t>
      </w:r>
      <w:r>
        <w:rPr>
          <w:rFonts w:ascii="Times New Roman;serif" w:hAnsi="Times New Roman;serif"/>
          <w:b w:val="false"/>
          <w:color w:val="000000"/>
          <w:sz w:val="20"/>
        </w:rPr>
        <w:t xml:space="preserve">, and Note 11, </w:t>
      </w:r>
      <w:r>
        <w:rPr>
          <w:rFonts w:ascii="Times New Roman;serif" w:hAnsi="Times New Roman;serif"/>
          <w:b w:val="false"/>
          <w:i/>
          <w:color w:val="000000"/>
          <w:sz w:val="20"/>
        </w:rPr>
        <w:t>Goodwill and</w:t>
      </w:r>
      <w:r>
        <w:rPr>
          <w:color w:val="000000"/>
        </w:rPr>
        <w:t xml:space="preserve"> </w:t>
      </w:r>
      <w:r>
        <w:rPr>
          <w:rFonts w:ascii="Times New Roman;serif" w:hAnsi="Times New Roman;serif"/>
          <w:b w:val="false"/>
          <w:i/>
          <w:color w:val="000000"/>
          <w:sz w:val="20"/>
        </w:rPr>
        <w:t xml:space="preserve">Intangible Assets, </w:t>
      </w:r>
      <w:r>
        <w:rPr>
          <w:rFonts w:ascii="Times New Roman;serif" w:hAnsi="Times New Roman;serif"/>
          <w:b w:val="false"/>
          <w:color w:val="000000"/>
          <w:sz w:val="20"/>
        </w:rPr>
        <w:t xml:space="preserve">for further detail around the intangible assets acquired from the Ironshore Acquisition, the BDSI Acquisition, the Nucynta Intangible Asset, and royalty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have historically consisted of product development expenses incurred in identifying, developing, and testing product candidates including stock-based compensation; costs associated with conducting our clinical and non-clinical activities, including clinical and non-clinical trials that we conduct for post-marketing requirements; and costs for laboratory supplies, depreciation of lab equipment, and other expenses including allocated expenses for rent and maintenance of facilities. These costs have historically been expensed as incurred.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April 1, 2022, we focused entirely on commercial products rather than research and development and redirected resources from research and development activities. As such, there were no expenses incurred in research and development after the three months ended March 31, 2022.</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and employee-related costs, including stock-based compensation and travel expenses for our employees. Other selling, general and administrative expenses include expenses related to commercial activities, such as sales, marketing, and market access, facility-related costs, professional fees for directors, accounting and legal services, and expenses associated with obtaining and maintaining patents. As we continue to invest in the commercialization of our products, we expect our selling, general and administrative expenses to continue to be substantial for the foreseeable future.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cash and non-cash interest costs related to our debt, including term loans, delayed draw term loans, a revolving credit facility, and convertible notes. Our term loans consist of the term loan issued in December 2025 (the “2025 Term Loan”), which was issued along with a delayed draw term loan and revolving credit facility (collectively, the “2025 Credit Facility”), as well as the term loan issued in July 2024 in connection with the Ironshore Acquisition (the “2024 Term Loan”) and the term loan issued in March 2022 in connection with the BDSI Acquisition (the “2022 Term Loan”). Our convertible notes consist of the convertible notes issued in February 2023 (the “2029 Convertible Notes”) and the convertible notes issued in February 2020 in connection with the Nucynta Acquisition (the “2026 Convertible Notes”).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and amortization of premiums and discounts on investments earned on our cash, cash equivalents, and marketable securities.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reflects expense or tax benefit for federal and state income taxes, as well as the impact of non-deductible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are based on our consolidated financial statements, which have been prepared in accordance with generally accepted accounting principles in the United States of America (“GAAP”). The preparation of these financial statements requires us to make estimates and judgments that affect the reported amounts of assets, liabilities, revenue and expenses and the disclosure of contingent assets and liabilities in our consolidated financial statements. Estimates include revenue recognition, including the estimates of product returns, discounts and allowances related to commercial sales of our products, estimates related to the fair value of assets acquired and liabilities assumed in business combinations, including acquired intangible assets and the fair value of inventory acquired, estimates utilized in the ongoing valuation of inventory related to potential unsalable product, estimates of useful lives with respect to intangible assets, accounting for stock-based compensation, contingencies, impairment of goodwill and intangible assets, and deferred tax valuation allowances. We base our estimates and assumptions on historical experience when available and on various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which would have resulted in different financial results. While our significant accounting policies are described in more detail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consolidated financial statements appearing elsewhere in this Form 10-K, we believe the following accounting policies to be most critical to the significant judgments and estimates used in the preparation of our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accounting policy for revenue recognition will have a substantial impact on reported results and relies on certain estimates. Estimates are based on historical experience, current conditions and various other assumptions that we believe are reasonable, the results of which form the basis for making judgments about the carrying values of assets, liabilities and equity and the amounts of revenues and expenses. Actual results may differ from these estimates under different assumptions or conditions.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only source of revenue to date has been generated by sales of our products, which are primarily sold to distributors (“customers”), which in turn sell the product to pharmacies and others for the treatment of patients. Revenue for product sales is recognized when a customer obtains control of promised goods or services, in an amount that reflects the consideration which the entity expects to receive in exchange for those goods or services. This generally occurs upon delivery to our customers when estimated provisions for chargebacks, rebates, sales incentives and allowances, distribution service fees, and returns are reasonably determinable. Therefore, product sales are recorded upon delivery to our customers net of estimated rebates and incentives, product returns, and trade allowances and chargebacks. </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Deductions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deductions consist primarily of provisions for: (i) rebates and incentives, including managed care rebates, government rebates, co-pay program incentives, and sales incentives and allowances; (ii) product returns, including return estimates for our products; and (iii) trade allowances and chargebacks, including fees for distribution service fees, prompt pay discounts, and chargebacks. We estimate the amount of variable consideration that should be included in revenue under the expected value method for all sales deductions other than trade allowances, which are estimated under the most likely amount method. These provisions reflect our best estimates of the amount of revenue to which we are entitled based on the terms of our contracts.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rebates and incentives are based on the estimated amount of rebates and incentives to be claimed on the related sales from the period. As our rebates and incentives are based on products dispensed to patients, we are required to estimate the expected value of claims at the time of product delivery to distributors. Given that distributors sell the product to pharmacies, which in turn dispense the product to patients, claims can be submitted significantly after the related sales are recognized. Our estimates of these claims are based on the historical experience of existing or similar programs, including current contractual and statutory requirements, specific known market events and trends, industry data, and estimated distribution channel inventory levels. Accruals and related reserves required for rebates and incentives are adjusted as new information becomes available, including actual claims. If actual results vary, we may need to adjust these estimates, which could have an effect on earnings in the period of the adjustment.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Provisions for product returns, including returns for Jornay PM, Belbuca, Xtampza ER, the Nucynta Products, and Symproic, are based on product-level returns rates, including processed as well as unprocessed return claims, in addition to relevant market events and other factors. Estimates of the future product returns are made at the time of revenue recognition to determine the amount of consideration to which we expect to be entitled (that is, excluding the products expected to be returned). At the end of each reporting period, we analyze trends in returns rates and update our assessment of variable consideration for returns. To the extent we receive amounts in excess of what we expect to be entitled to receive due to a product return, we do not recognize revenue when we transfer products to customers but instead recognize those excess amounts received as a refund liability. We update the measurement of the refund liability at the end of each reporting period for changes in expectations about the amount of refunds with the corresponding adjustments recognized as revenue (or reductions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We provide the right of return to our customers for an 18-month window beginning six months prior to expiration and up until twelve months after expiration. Our customers short-pay an existing invoice upon notice of a product return claim. Adjustments to the preliminary short-paid claims are processed when the return claim is validated and finalized. Our return policy requires that product is returned and that the return is claimed within the 18-month window. Refer to Note 3,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Provisions for trade allowances and chargebacks are primarily based on customer-level contractual terms. Accruals and related reserves are adjusted as new information becomes available, which generally consists of actual trade allowances and chargebacks processed. Actual results may differ from these estimates under different assumptions or conditions.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Combination Accounting and Valuation of Acquired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completed the Ironshore Acquisition in September 2024, which was accounted for as a business combination. To determine whether the acquisition should be accounted for as a business combination or as an asset acquisition, we make judgments regarding whether the acquired set of activities and assets met the definition of a business. Judgment is required in assessing whether the acquired processes or activities, along with their inputs, would be substantive to constitute a business, as defined by U.S. GAAP.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determination of the fair value of the acquired assets and liabilities assumed is a critical accounting estimate because the estimation of fair values requires significant management judgment and requires various assumptions based on non-observable inputs that are included in valuation models. An income approach, which generally relies upon projected cash flow models, is used in estimating the fair value of the acquired intangible assets and the deferred royalty obligation. The fair value of acquired inventory is based on inventory cost and other assumptions. The cash flow projections are based on management’s estimates of economic and market conditions including the estimated future cash flows from revenues of acquired assets, the timing and projection of costs and expenses and the related profit margins, tax rates, and an appropriate discount rate.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measurement period, which occurs before finalization of the purchase price allocation, changes in assumptions and estimates that result in adjustments to the fair values of assets acquired and liabilities assumed, if based on facts and circumstances existing at the acquisition date, are recorded on a retroactive basis as of the acquisition date, with the corresponding offset to goodwill. Any adjustments not based on facts and circumstances existing at the acquisition date, or if subsequent to the conclusion of the measurement period, will be recorded to our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provide a valuation allowance when it is more likely than not that deferred tax assets will not be realized. In determining the extent to which a valuation allowance for deferred tax assets is required, we evaluate all available evidence including projections of future taxable income, carryback opportunities, reversal of certain deferred tax liabilities, and other tax planning strategies, all of which are subject to uncertainty. Certain deferred tax assets, such as net operating losses and tax credits, expire at varying dates and are generally subject to annual limitations under Section 382 of the Internal Revenue Code of 1986, as amended (“IRC 382”). Significant judgment is required in making these evaluations, including comparing future annual income projections to the expiration dates and annual limitations of such assets. To the extent our future expectations change, we would have to assess the recoverability of these deferred tax assets at that time.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maintained a valuation allowance on the portion of our deferred tax assets that are not more likely than not to be realized due to tax limitation or other conditions of $5.3 million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this section, we discuss the results of our operations for the year ended December 31, 2025 compared to the year ended December 31, 2024.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our operations for the years ended December 31, 2025 and 2024:</w:t>
      </w:r>
    </w:p>
    <w:tbl>
      <w:tblPr>
        <w:tblW w:w="8198" w:type="dxa"/>
        <w:jc w:val="left"/>
        <w:tblInd w:w="0" w:type="dxa"/>
        <w:tblLayout w:type="fixed"/>
        <w:tblCellMar>
          <w:top w:w="28" w:type="dxa"/>
          <w:left w:w="28" w:type="dxa"/>
          <w:bottom w:w="28" w:type="dxa"/>
          <w:right w:w="28" w:type="dxa"/>
        </w:tblCellMar>
      </w:tblPr>
      <w:tblGrid>
        <w:gridCol w:w="2005"/>
        <w:gridCol w:w="1762"/>
        <w:gridCol w:w="1767"/>
        <w:gridCol w:w="211"/>
        <w:gridCol w:w="826"/>
        <w:gridCol w:w="109"/>
        <w:gridCol w:w="109"/>
        <w:gridCol w:w="109"/>
        <w:gridCol w:w="109"/>
        <w:gridCol w:w="211"/>
        <w:gridCol w:w="82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631,449 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317,310 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254,105 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463,257 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377,344 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284,803 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283,621 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207,449 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179,636 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169,895 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92,619 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98,568 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Product revenues, net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Product revenues, net were $780.6 million for the year ended December 31, 2025 (“2025”), compared to $631.4 million for the year ended December 31, 2024 (“2024”), representing a $149.2 million increase. The $149.2 million increase was primarily due to increases in revenue for Jornay PM of $111.7 million, the Nucynta Products of $19.8 million, Belbuca of $10.4 million, and Xtampza ER of $8.0 million, partially offset by decreases in revenue for Symproic and other of $0.7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Jornay PM of $111.7 million was due to 2025 including a full year of product revenues compared to a partial year in 2024 as the product was acquired from the Ironshore Acquisition in September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the Nucynta Products of $19.8 million was primarily due to lower gross-to-net adjustments related to provisions for rebates and higher gross price, partially offset by lower sales volume.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Belbuca of $10.4 million was primarily due to lower gross-to-net adjustments related to provisions for rebates and higher gross price, partially offset by higher gross-to-net adjustments related to provisions for chargebacks and lower sales volume.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Xtampza ER of $8.0 million was primarily due to lower gross-to-net adjustments related to provisions for rebates, including the recognition of $3.2 million related to certain rebate settlements during 2025. In addition, revenue increased due to higher gross price partially offset by lower sales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product revenues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 was $95.4 million for 2025, compared to $88.8 million for 2024. The $6.6 million increase was primarily due to 2025 including a full year of cost of product revenues for Jornay PM compared to a partial year in 2024 as the product was acquired from the Ironshore Acquisition in September 2024. In addition, cost of product revenues increased due to 2025 including $3.1 million of royalty expense related to the Company’s license agreement with Grünenthal that is subject to future recovery, partially offset by lower current period royalty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 amortization was $221.9 million for 2025, compared to $165.3 million for 2024. The $56.6 million increase in intangible asset amortization was primarily related to 2025 including a full year of amortization from the intangible asset acquired in the Ironshore Acquisition in September 2024. </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were $284.8 million for 2025, compared to $210.4 million for 2024. The $74.4 million increase was primarily related to: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salaries, wages and benefits of $49.4 million primarily due to additional headcount added in 2025 as a result of the Ironshore Acquisition, including the expansion of the sales force that promotes Jornay PM in 2025, as well as expenses incurred as a result of certain executive transitions announced in 2025, including stock-based compensation expense of $2.6 million related to accelerated equity awards and severance, benefits, and related expenses incurred of $1.4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sales and marketing expenses of $37.6 million, primarily due to expenses incurred to support Jornay PM following the Ironshore Acquisition in September 2024;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audit and legal expenses of $4.9 million primarily due to expenses related to litigation; partially offset by: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decrease in acquisition related expenses of $20.1 million, as 2024 included transaction costs and other expenses incurred shortly after the Ironshore Acquisition that did not recur at the same level in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 was $1.2 million for 2025, compared to $2.9 million for 2024. The $1.7 million decrease was due to the revaluation of the contingent consideration associated with the Ironshore Acquisition and reflects the liability being reduced to zero in 2025 after the related milestone was not achieved.</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 and 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expense was $82.3 million for 2025, compared to $74.0 million for 2024. The $8.3 million increase was primarily due to higher interest expense of $8.8 million related to the deferred royalty obligation that was assumed as part of the Ironshore Acquisition in September 2024. Interest expense from term loans was materially consistent in 2025 compared to 2024 due to the refinancing of our term loans in the third quarter of 2024 and the fourth quarter of 2025, which resulted in a lower interest rate offset by a higher principal balance.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Interest income was $11.3 million for 2025, compared to $14.0 million for 2024. The $2.7 million decrease was primarily due to lower interest rates earned on cash equivalents and marketable securities in 2025 compared to 2024.</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extinguishment of debt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was $16.0 million for 2025, compared to $11.3 million for 2024. The $4.7 million increase was due to 2025 including a $16.0 million loss on extinguishment resulting from the repayment of the 2024 Term Loan. In 2024, the remaining $26.4 million of the 2026 Convertible Notes were redeemed, resulting in a $7.2 million loss on extinguishment. In addition, in 2024, assumed debt from the Ironshore Acquisition was extinguished, resulting in a loss on extinguishment of $4.1 million.</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$29.7 million for 2025, compared to $29.4 million for 2024. The $0.3 million increase was primarily due to higher nondeductible items in 2025 compared to 2024, including the impact of nondeductible officer compensation, stock compensation, and provision-to-return adjustments, partially offset by lower earnings before taxes. The effective tax rate was 32.1% and 29.8% for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funded our operations primarily through public offerings of our common stock, private placements of term debt; convertible notes; and cash inflows from sales of our products. We are primarily dependent on the commercial success of Jornay PM, Belbuca, Xtampza ER, and the Nucynta Products.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entered into the 2025 Credit Agreement, which consists of the $580.0 million 2025 Term Loan, a $300.0 million of delayed draw term loan commitments, and a $100.0 million revolving credit facility, which is fully available as of December 31, 2025. The 2025 Term Loan was used to repay in full the remaining outstanding obligations under the 2024 Term Loan and to pay fees and expenses relating to the entry into the 2025 Credit Agreement and the remainder for general corporate purposes.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outstanding principal balance of the 2025 Term Loan was $580.0 million, of which $29.0 million in principal payments are due within the next 12 months. As of December 31, 2025, the outstanding principal balance of the 2029 Convertible Notes was $241.5 million. As of December 31, 2025, and December 31, 2024, we had $231.3 million and $70.6 million in cash and cash equivalents,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and marketable securities as of December 31, 2025, together with expected cash inflows from operations, will enable us to fund our operating expenses, debt service and capital expenditure requirements under our current business plan for the foreseeable future.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Borrowing Arrangements and Equity Offerings</w:t>
      </w:r>
    </w:p>
    <w:p>
      <w:pPr>
        <w:pStyle w:val="TextBody"/>
        <w:bidi w:val="0"/>
        <w:spacing w:lineRule="auto" w:line="288" w:before="0" w:after="200"/>
        <w:jc w:val="left"/>
        <w:rPr/>
      </w:pPr>
      <w:r>
        <w:rPr>
          <w:rFonts w:ascii="Times New Roman;serif" w:hAnsi="Times New Roman;serif"/>
          <w:b w:val="false"/>
          <w:color w:val="000000"/>
          <w:sz w:val="20"/>
        </w:rPr>
        <w:t xml:space="preserve">Our material borrowing arrangements and equity offerings are the 2025 Credit Facility and the 2029 Convertible Notes. Refer to Note 14, </w:t>
      </w:r>
      <w:r>
        <w:rPr>
          <w:rFonts w:ascii="Times New Roman;serif" w:hAnsi="Times New Roman;serif"/>
          <w:b w:val="false"/>
          <w:i/>
          <w:color w:val="000000"/>
          <w:sz w:val="20"/>
        </w:rPr>
        <w:t>Debt</w:t>
      </w:r>
      <w:r>
        <w:rPr>
          <w:rFonts w:ascii="Times New Roman;serif" w:hAnsi="Times New Roman;serif"/>
          <w:b w:val="false"/>
          <w:color w:val="000000"/>
          <w:sz w:val="20"/>
        </w:rPr>
        <w: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this section, we discuss cash flows for the year ended December 31, 2025 compared to the year ended December 31, 2024. </w:t>
      </w:r>
    </w:p>
    <w:tbl>
      <w:tblPr>
        <w:tblW w:w="8304" w:type="dxa"/>
        <w:jc w:val="left"/>
        <w:tblInd w:w="0" w:type="dxa"/>
        <w:tblLayout w:type="fixed"/>
        <w:tblCellMar>
          <w:top w:w="28" w:type="dxa"/>
          <w:left w:w="28" w:type="dxa"/>
          <w:bottom w:w="28" w:type="dxa"/>
          <w:right w:w="28" w:type="dxa"/>
        </w:tblCellMar>
      </w:tblPr>
      <w:tblGrid>
        <w:gridCol w:w="2014"/>
        <w:gridCol w:w="1773"/>
        <w:gridCol w:w="1778"/>
        <w:gridCol w:w="211"/>
        <w:gridCol w:w="826"/>
        <w:gridCol w:w="109"/>
        <w:gridCol w:w="109"/>
        <w:gridCol w:w="109"/>
        <w:gridCol w:w="109"/>
        <w:gridCol w:w="211"/>
        <w:gridCol w:w="90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329,323 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204,980 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(143,382)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 xml:space="preserve">Cash provided by operating activities was $329.3 million in 2025, compared to $205.0 million in 2024. The $124.3 million increase in cash provided by operating activities was primarily due to the increase in cash flow from operating results after adjustment for non-cash items that are included in net income as well as due to changes in working capital, which were significantly impacted by the payment of assumed liabilities from Ironshore in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Cash used in investing activities was $63.5 million in 2025, compared to $287.8 million in 2024. The $224.3 million</w:t>
      </w:r>
      <w:r>
        <w:rPr>
          <w:color w:val="000000"/>
          <w:shd w:fill="FFFFFF" w:val="clear"/>
        </w:rPr>
        <w:t xml:space="preserv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cash used in investing activities </w:t>
      </w:r>
      <w:r>
        <w:rPr>
          <w:rFonts w:ascii="Times New Roman;serif" w:hAnsi="Times New Roman;serif"/>
          <w:b w:val="false"/>
          <w:color w:val="000000"/>
          <w:sz w:val="20"/>
        </w:rPr>
        <w:t xml:space="preserve">was primarily due 2024 including $267.5 million of cash used to acquire Ironshore (net of cash acquired), partially offset by a $43.2 million increase in cash used in investing in marketable securities.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Cash used in financing activities was $110.2 million in 2025, compared to $60.6 million in 2024. The $49.6 million increase in cash used in financing activities was primarily due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cash used for repayments of term loans of $527.7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deferred purchase price payments related to the Ironshore Acquisition of $7.6 million; 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cash provided by term note financings of $252.0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2024 including the repayment of assumed debt from the Ironshore Acquisition of $164.6 million, which did not recur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cash used to repurchase common stock of $34.9 million;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2024 including the redemption of $33.2 million of the remaining 2026 Convertible Notes, which did not recur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and marketable securities as of December 31, 2025, together with expected cash inflows from operations, will enable us to fund our operating expenses, debt service and capital expenditure requirements under our current business plan for the foreseeable future. However, we are subject to all the risks common to the commercialization and development of new pharmaceutical products, and we may encounter unforeseen expenses, difficulties, complications, delays and other unknown factors that may adversely affect our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significant future capital requirements,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expected operating expenses to manufacture and commercialize our products and to operate our organization;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repayment of outstanding principal amounts and interest in connection with our 2025 Term Loan and 2029 Convertible 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royalties we pay on sales of certain products within our portfolio;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payment of income taxes;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deferred royalty obligation in connection with Jornay PM;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lease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minimum purchase obligations in connection with our contract manufacturer;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contingent payment upon the achievement of a financial milestone based on net revenues of Jornay PM.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significant potential future capital requirements,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may enter into business development transactions, including acquisitions, collaborations, licensing arrangements and equity investments, that require additional capital;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judgments rendered against us in connection with any of the litigation matters set forth in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financial statements;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 July 2025, our Board of Directors authorized a new share repurchase program for the repurchase of up to $150.0 million of shares of our common stock through December 31, 2026. As of December 31, 2025, $150.0 million remained available for share repurchases under the 2025-2026 Repurchase Program. Future share repurchases will depend upon, among other factors, our cash balances and potential future capital requirements, our results of operations and financial conditions, the price of our common stock on the Nasdaq Global Select Market, and other factors that we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160"/>
        <w:jc w:val="left"/>
        <w:rPr/>
      </w:pPr>
      <w:r>
        <w:rPr>
          <w:rFonts w:ascii="Times New Roman;serif" w:hAnsi="Times New Roman;serif"/>
          <w:b w:val="false"/>
          <w:color w:val="000000"/>
          <w:sz w:val="20"/>
        </w:rPr>
        <w:t xml:space="preserve">Our contractual obligations as of December 31, 2025 that will affect our future liquidity include our term loans, including interest; convertible senior notes, including interest; operating lease obligations; deferred royalty obligation; and purchase obligations. For further detail regarding our term loans and convertible senior notes, refer to Note 14,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detail regarding our deferred royalty obligation, refer to Note 15, </w:t>
      </w:r>
      <w:r>
        <w:rPr>
          <w:rFonts w:ascii="Times New Roman;serif" w:hAnsi="Times New Roman;serif"/>
          <w:b w:val="false"/>
          <w:i/>
          <w:color w:val="000000"/>
          <w:sz w:val="20"/>
        </w:rPr>
        <w:t>Deferred Royalty Obligation.</w:t>
      </w:r>
      <w:r>
        <w:rPr>
          <w:color w:val="000000"/>
        </w:rPr>
        <w:t xml:space="preserve"> </w:t>
      </w:r>
      <w:r>
        <w:rPr>
          <w:rFonts w:ascii="Times New Roman;serif" w:hAnsi="Times New Roman;serif"/>
          <w:b w:val="false"/>
          <w:color w:val="000000"/>
          <w:sz w:val="20"/>
        </w:rPr>
        <w:t xml:space="preserve">For further detail regarding our operating lease obligations, refer to Note 16, </w:t>
      </w:r>
      <w:r>
        <w:rPr>
          <w:rFonts w:ascii="Times New Roman;serif" w:hAnsi="Times New Roman;serif"/>
          <w:b w:val="false"/>
          <w:i/>
          <w:color w:val="000000"/>
          <w:sz w:val="20"/>
        </w:rPr>
        <w:t>Leases</w:t>
      </w:r>
      <w:r>
        <w:rPr>
          <w:rFonts w:ascii="Times New Roman;serif" w:hAnsi="Times New Roman;serif"/>
          <w:b w:val="false"/>
          <w:color w:val="000000"/>
          <w:sz w:val="20"/>
        </w:rPr>
        <w: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Our purchase obligations represent the minimum purchase obligations of up to $3.0 million per year with our contract manufacturer which are in effect as of December 31, 2025 and will remain in effect each year until the termination of our manufacturing agreement.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also have employment agreements with executive officers that would require us to make severance payments to them if we terminate their employment without cause or the executives resign for good reason. These payments are contingent upon the occurrence of various future events, and the amounts payable under these provisions depend upon the level of compensation at the time of termination of employment, and therefore, are not calculable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financial results presented on a GAAP basis, we have included information about certain non-GAAP financial measures. We believe the presentation of these non-GAAP financial measures, when viewed with our results under GAAP and the accompanying reconciliations, provide analysts, investors, lenders, and other third parties with insights into how we evaluate normal operational activities, including our ability to generate cash from operations,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comparable year-over-year basis and manage our budgeting and forecasting. In addition, certain non-GAAP financial measures, primarily Adjusted EBITDA, are used to measure performance when determining components of annual compensation for substantially all non-sales force employees, including senior management.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may discuss the following financial measures that are not calculated in accordance with GAAP in our quarterly and annual reports, earnings press releases and conference calls.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do not represent ongoing operations. Adjusted EBITDA, as used by us, may be calculated differently from, and therefore may not be comparable to, similarly titled measures used by other companies.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are several limitations related to the use of adjusted EBITDA rather than net income or loss, which is the nearest GAAP equivalent, such as:</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adjusted EBITDA excludes depreciation and amortization, and, although these are non-cash expenses, the assets being depreciated or amortized may have to be replaced in the future, the cash requirements for which are not reflected in adjusted EBITDA;</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adjusted EBITDA does not reflect changes in, or cash requirements for, working capital needs;</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adjusted EBITDA does not reflect the benefit from or provision for income taxes or the cash requirements to pay taxes;</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adjusted EBITDA does not reflect historical cash expenditures or future requirements for capital expenditures or contractual commitments;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we exclude impairment expenses from adjusted EBITDA and, although these are non-cash expenses, the asset(s) being impaired may have to be replaced in the future, the cash requirements for which are not reflected in adjusted EBITDA;</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we exclude restructuring expenses from adjusted EBITDA. Restructuring expenses primarily include employee severance and contract termination costs that are not related to acquisitions. The amount and/or frequency of these restructuring expenses are not part of our underlying business;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we exclude litigation settlements and contingencies that are subject to recovery from adjusted EBITDA, as well as any applicable income items, credit adjustments, or recoveries due to subsequent changes in estimates. This does not include our legal fees to defend claims, which are expensed as incurred;</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we exclude acquisition related expenses as the amount and/or frequency of these expenses are not part of our underlying business. Acquisition related expenses include transaction costs, which primarily consisted of financial advisory, banking, legal, and regulatory fees, and other consulting fees, incurred to complete the acquisition, employee-related expenses (severance cost and benefits) for terminated employees after the acquisition, legal defense expenses for specific acquired claims that relate to acts that occurred prior to our acquisition, and miscellaneous other acquisition related expenses incurred;</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we exclude recognition of the step-up basis in inventory from acquisitions (i.e., the adjustment to record inventory from historic cost to fair value at acquisition) as the adjustment does not reflect the ongoing expense associated with sale of our products as part of our underlying business;</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we exclude losses on extinguishments of debt as these expenses are episodic in nature and do not directly correlate to the cost of operating our business on an ongoing basis; </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we exclude executive transition expenses from adjusted EBITDA as the amount and/or frequency of these expenses are episodic in nature and do not directly correlate to the cost of operating our business on an ongoing basis; and</w:t>
      </w:r>
    </w:p>
    <w:p>
      <w:pPr>
        <w:pStyle w:val="TextBody"/>
        <w:bidi w:val="0"/>
        <w:spacing w:lineRule="auto" w:line="288" w:before="0" w:after="20"/>
        <w:ind w:left="0" w:right="0" w:hanging="360"/>
        <w:jc w:val="left"/>
        <w:rPr/>
      </w:pPr>
      <w:r>
        <w:rPr>
          <w:color w:val="000000"/>
        </w:rPr>
        <w:t>•</w:t>
      </w:r>
      <w:r>
        <w:rPr>
          <w:rFonts w:ascii="Times New Roman;serif" w:hAnsi="Times New Roman;serif"/>
          <w:b w:val="false"/>
          <w:color w:val="000000"/>
          <w:sz w:val="20"/>
        </w:rPr>
        <w:t xml:space="preserve">we exclude other expenses, from time to time, that are episodic in nature and do not directly correlate to the cost of operating our business on an ongoing basis.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for the years ended December 31, 2025 and 2024 was as follows:</w:t>
      </w:r>
    </w:p>
    <w:tbl>
      <w:tblPr>
        <w:tblW w:w="7794" w:type="dxa"/>
        <w:jc w:val="left"/>
        <w:tblInd w:w="0" w:type="dxa"/>
        <w:tblLayout w:type="fixed"/>
        <w:tblCellMar>
          <w:top w:w="28" w:type="dxa"/>
          <w:left w:w="28" w:type="dxa"/>
          <w:bottom w:w="28" w:type="dxa"/>
          <w:right w:w="28" w:type="dxa"/>
        </w:tblCellMar>
      </w:tblPr>
      <w:tblGrid>
        <w:gridCol w:w="1857"/>
        <w:gridCol w:w="1630"/>
        <w:gridCol w:w="1643"/>
        <w:gridCol w:w="211"/>
        <w:gridCol w:w="826"/>
        <w:gridCol w:w="109"/>
        <w:gridCol w:w="109"/>
        <w:gridCol w:w="109"/>
        <w:gridCol w:w="109"/>
        <w:gridCol w:w="211"/>
        <w:gridCol w:w="826"/>
        <w:gridCol w:w="154"/>
      </w:tblGrid>
      <w:tr>
        <w:trPr/>
        <w:tc>
          <w:tcPr>
            <w:tcW w:w="185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332,000 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460,495 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401,190 </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was $460.5 million for 2025 compared to $401.2 million for 2024. The $59.3 million increase was primarily due to higher revenues of $149.2 million, partially offset by higher salaries, wages and benefits (excluding stock-based compensation and executive transition expense) of $41.6 million, higher sales and marketing expenses of $37.6 million, and higher audit and legal fees of $4.9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2025 quarterly Adjusted EBITDA:</w:t>
      </w:r>
    </w:p>
    <w:tbl>
      <w:tblPr>
        <w:tblW w:w="10205" w:type="dxa"/>
        <w:jc w:val="left"/>
        <w:tblInd w:w="0" w:type="dxa"/>
        <w:tblLayout w:type="fixed"/>
        <w:tblCellMar>
          <w:top w:w="28" w:type="dxa"/>
          <w:left w:w="28" w:type="dxa"/>
          <w:bottom w:w="28" w:type="dxa"/>
          <w:right w:w="28" w:type="dxa"/>
        </w:tblCellMar>
      </w:tblPr>
      <w:tblGrid>
        <w:gridCol w:w="1389"/>
        <w:gridCol w:w="1219"/>
        <w:gridCol w:w="1152"/>
        <w:gridCol w:w="109"/>
        <w:gridCol w:w="109"/>
        <w:gridCol w:w="109"/>
        <w:gridCol w:w="236"/>
        <w:gridCol w:w="810"/>
        <w:gridCol w:w="122"/>
        <w:gridCol w:w="109"/>
        <w:gridCol w:w="109"/>
        <w:gridCol w:w="109"/>
        <w:gridCol w:w="245"/>
        <w:gridCol w:w="960"/>
        <w:gridCol w:w="126"/>
        <w:gridCol w:w="109"/>
        <w:gridCol w:w="109"/>
        <w:gridCol w:w="109"/>
        <w:gridCol w:w="232"/>
        <w:gridCol w:w="912"/>
        <w:gridCol w:w="120"/>
        <w:gridCol w:w="109"/>
        <w:gridCol w:w="109"/>
        <w:gridCol w:w="109"/>
        <w:gridCol w:w="242"/>
        <w:gridCol w:w="948"/>
        <w:gridCol w:w="184"/>
      </w:tblGrid>
      <w:tr>
        <w:trPr/>
        <w:tc>
          <w:tcPr>
            <w:tcW w:w="138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Fourth Quarter</w:t>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8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92,735 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93,079 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101,488 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110,323 </w:t>
            </w:r>
          </w:p>
        </w:tc>
        <w:tc>
          <w:tcPr>
            <w:tcW w:w="18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95,152 </w:t>
            </w:r>
          </w:p>
        </w:tc>
        <w:tc>
          <w:tcPr>
            <w:tcW w:w="12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105,062 </w:t>
            </w:r>
          </w:p>
        </w:tc>
        <w:tc>
          <w:tcPr>
            <w:tcW w:w="1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132,995 </w:t>
            </w:r>
          </w:p>
        </w:tc>
        <w:tc>
          <w:tcPr>
            <w:tcW w:w="12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127,286 </w:t>
            </w:r>
          </w:p>
        </w:tc>
        <w:tc>
          <w:tcPr>
            <w:tcW w:w="18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Adjusted Operating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is a non-GAAP financial measure that represents GAAP operating expenses adjusted to exclude stock-based compensation expense, and other adjustments to reflect changes that occur in our business but do not represent ongoing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for the years ended December 31, 2025 and 2024 were as follows:</w:t>
      </w:r>
    </w:p>
    <w:tbl>
      <w:tblPr>
        <w:tblW w:w="7794" w:type="dxa"/>
        <w:jc w:val="left"/>
        <w:tblInd w:w="0" w:type="dxa"/>
        <w:tblLayout w:type="fixed"/>
        <w:tblCellMar>
          <w:top w:w="28" w:type="dxa"/>
          <w:left w:w="28" w:type="dxa"/>
          <w:bottom w:w="28" w:type="dxa"/>
          <w:right w:w="28" w:type="dxa"/>
        </w:tblCellMar>
      </w:tblPr>
      <w:tblGrid>
        <w:gridCol w:w="1858"/>
        <w:gridCol w:w="1634"/>
        <w:gridCol w:w="1638"/>
        <w:gridCol w:w="211"/>
        <w:gridCol w:w="826"/>
        <w:gridCol w:w="109"/>
        <w:gridCol w:w="109"/>
        <w:gridCol w:w="109"/>
        <w:gridCol w:w="109"/>
        <w:gridCol w:w="211"/>
        <w:gridCol w:w="826"/>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237,325 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150,583 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were $237.3 million for 2025 compared to $150.6 million for 2024. The $86.7 million increase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 increase in salaries, wages, and benefits (excluding stock-based compensation and executive transition expense) of $41.6 million, primarily due to additional headcount added as a result of the Ironshore Acquisition;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in sales and marketing expenses of $37.6 million, primarily due to expenses incurred to support the ongoing commercialization of Jornay PM following the Ironshore Acquisition in September 2024;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 increase in audit and legal fees of $4.9 million, primarily due to expenses related to litigation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2025 quarterly adjusted operating expenses:</w:t>
      </w:r>
    </w:p>
    <w:tbl>
      <w:tblPr>
        <w:tblW w:w="10205" w:type="dxa"/>
        <w:jc w:val="left"/>
        <w:tblInd w:w="0" w:type="dxa"/>
        <w:tblLayout w:type="fixed"/>
        <w:tblCellMar>
          <w:top w:w="28" w:type="dxa"/>
          <w:left w:w="28" w:type="dxa"/>
          <w:bottom w:w="28" w:type="dxa"/>
          <w:right w:w="28" w:type="dxa"/>
        </w:tblCellMar>
      </w:tblPr>
      <w:tblGrid>
        <w:gridCol w:w="1556"/>
        <w:gridCol w:w="1264"/>
        <w:gridCol w:w="1267"/>
        <w:gridCol w:w="240"/>
        <w:gridCol w:w="823"/>
        <w:gridCol w:w="124"/>
        <w:gridCol w:w="109"/>
        <w:gridCol w:w="109"/>
        <w:gridCol w:w="109"/>
        <w:gridCol w:w="269"/>
        <w:gridCol w:w="921"/>
        <w:gridCol w:w="138"/>
        <w:gridCol w:w="109"/>
        <w:gridCol w:w="109"/>
        <w:gridCol w:w="109"/>
        <w:gridCol w:w="253"/>
        <w:gridCol w:w="868"/>
        <w:gridCol w:w="130"/>
        <w:gridCol w:w="109"/>
        <w:gridCol w:w="109"/>
        <w:gridCol w:w="109"/>
        <w:gridCol w:w="264"/>
        <w:gridCol w:w="905"/>
        <w:gridCol w:w="202"/>
      </w:tblGrid>
      <w:tr>
        <w:trPr/>
        <w:tc>
          <w:tcPr>
            <w:tcW w:w="155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Fourth Quarter</w:t>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expenses</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67,084 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67,621 </w:t>
            </w:r>
          </w:p>
        </w:tc>
        <w:tc>
          <w:tcPr>
            <w:tcW w:w="20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13,424 </w:t>
            </w:r>
          </w:p>
        </w:tc>
        <w:tc>
          <w:tcPr>
            <w:tcW w:w="1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20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2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62,213 </w:t>
            </w:r>
          </w:p>
        </w:tc>
        <w:tc>
          <w:tcPr>
            <w:tcW w:w="1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61,884 </w:t>
            </w:r>
          </w:p>
        </w:tc>
        <w:tc>
          <w:tcPr>
            <w:tcW w:w="1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55,740 </w:t>
            </w:r>
          </w:p>
        </w:tc>
        <w:tc>
          <w:tcPr>
            <w:tcW w:w="1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57,488 </w:t>
            </w:r>
          </w:p>
        </w:tc>
        <w:tc>
          <w:tcPr>
            <w:tcW w:w="2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Adjusted Net Income and Adjusted Earnings Per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net income is a non-GAAP financial measure that represents GAAP net income or loss adjusted to exclude significant income and expense items that are non-cash or not indicative of ongoing operations, including consideration of the tax effect of the adjustments. Adjusted earnings per share is a non-GAAP financial measure that represents adjusted net income per share. Adjusted weighted-average shares - diluted is calculated in accordance with the treasury stock, if-converted, or contingently issuable accounting methods, depending on the nature of the security.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net income and adjusted earnings per share for the years ended December 31, 2025 and 2024 were as follows:</w:t>
      </w:r>
    </w:p>
    <w:tbl>
      <w:tblPr>
        <w:tblW w:w="9205" w:type="dxa"/>
        <w:jc w:val="left"/>
        <w:tblInd w:w="0" w:type="dxa"/>
        <w:tblLayout w:type="fixed"/>
        <w:tblCellMar>
          <w:top w:w="28" w:type="dxa"/>
          <w:left w:w="28" w:type="dxa"/>
          <w:bottom w:w="28" w:type="dxa"/>
          <w:right w:w="28" w:type="dxa"/>
        </w:tblCellMar>
      </w:tblPr>
      <w:tblGrid>
        <w:gridCol w:w="1859"/>
        <w:gridCol w:w="1630"/>
        <w:gridCol w:w="1641"/>
        <w:gridCol w:w="323"/>
        <w:gridCol w:w="1265"/>
        <w:gridCol w:w="166"/>
        <w:gridCol w:w="166"/>
        <w:gridCol w:w="166"/>
        <w:gridCol w:w="166"/>
        <w:gridCol w:w="323"/>
        <w:gridCol w:w="1265"/>
        <w:gridCol w:w="235"/>
      </w:tblGrid>
      <w:tr>
        <w:trPr/>
        <w:tc>
          <w:tcPr>
            <w:tcW w:w="185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24,329 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Income tax effect of above adjustments </w:t>
            </w:r>
            <w:r>
              <w:rPr>
                <w:rFonts w:ascii="Times New Roman;serif" w:hAnsi="Times New Roman;serif"/>
                <w:b w:val="false"/>
                <w:color w:val="000000"/>
                <w:sz w:val="13"/>
              </w:rPr>
              <w:t>(1)</w:t>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(62,880)</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226,413 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185,617 </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w:t>
            </w:r>
          </w:p>
        </w:tc>
        <w:tc>
          <w:tcPr>
            <w:tcW w:w="323"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289,283 </w:t>
            </w:r>
          </w:p>
        </w:tc>
        <w:tc>
          <w:tcPr>
            <w:tcW w:w="1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254,807 </w:t>
            </w:r>
          </w:p>
        </w:tc>
        <w:tc>
          <w:tcPr>
            <w:tcW w:w="23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weighted-average shares — diluted </w:t>
            </w:r>
            <w:r>
              <w:rPr>
                <w:rFonts w:ascii="Times New Roman;serif" w:hAnsi="Times New Roman;serif"/>
                <w:b w:val="false"/>
                <w:color w:val="000000"/>
                <w:sz w:val="13"/>
              </w:rPr>
              <w:t>(2)</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39,701,693</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40,424,180</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earnings per share </w:t>
            </w:r>
            <w:r>
              <w:rPr>
                <w:rFonts w:ascii="Times New Roman;serif" w:hAnsi="Times New Roman;serif"/>
                <w:b w:val="false"/>
                <w:color w:val="000000"/>
                <w:sz w:val="13"/>
              </w:rPr>
              <w:t>(2)</w:t>
            </w:r>
          </w:p>
        </w:tc>
        <w:tc>
          <w:tcPr>
            <w:tcW w:w="3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income tax effect of the adjustments was calculated by applying our blended federal and state statutory rate to the adjustments that have a tax effect. The blended federal and state statutory rate for the years ended December 31, 2025 and 2024 were 24.8% and 26.5%, respectively. As such, the non-GAAP effective tax rates for the years ended December 31, 2025 and 2024 were 24.0% and 25.3%, respectively.</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(2)Adjusted weighted-average shares - diluted were calculated using the “if-converted” method for the convertibles notes in accordance with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As such, adjusted weighted-average shares – diluted includes shares related to the assumed conversion of our convertible notes and the associated cash interest expense added-back to non-GAAP adjusted net income. For the years ended December 31, 2025 and 2024, adjusted weighted-average shares – diluted includes 6,606,305 attributable to our convertible notes. In addition, adjusted earnings per share includes other potentially dilutive securities to the extent that they are not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2025 quarterly adjusted net income and adjusted earnings per share:</w:t>
      </w:r>
    </w:p>
    <w:tbl>
      <w:tblPr>
        <w:tblW w:w="10205" w:type="dxa"/>
        <w:jc w:val="left"/>
        <w:tblInd w:w="0" w:type="dxa"/>
        <w:tblLayout w:type="fixed"/>
        <w:tblCellMar>
          <w:top w:w="28" w:type="dxa"/>
          <w:left w:w="28" w:type="dxa"/>
          <w:bottom w:w="28" w:type="dxa"/>
          <w:right w:w="28" w:type="dxa"/>
        </w:tblCellMar>
      </w:tblPr>
      <w:tblGrid>
        <w:gridCol w:w="1604"/>
        <w:gridCol w:w="1263"/>
        <w:gridCol w:w="1235"/>
        <w:gridCol w:w="240"/>
        <w:gridCol w:w="821"/>
        <w:gridCol w:w="123"/>
        <w:gridCol w:w="109"/>
        <w:gridCol w:w="109"/>
        <w:gridCol w:w="109"/>
        <w:gridCol w:w="268"/>
        <w:gridCol w:w="918"/>
        <w:gridCol w:w="138"/>
        <w:gridCol w:w="109"/>
        <w:gridCol w:w="109"/>
        <w:gridCol w:w="109"/>
        <w:gridCol w:w="253"/>
        <w:gridCol w:w="866"/>
        <w:gridCol w:w="130"/>
        <w:gridCol w:w="109"/>
        <w:gridCol w:w="109"/>
        <w:gridCol w:w="109"/>
        <w:gridCol w:w="263"/>
        <w:gridCol w:w="902"/>
        <w:gridCol w:w="200"/>
      </w:tblGrid>
      <w:tr>
        <w:trPr/>
        <w:tc>
          <w:tcPr>
            <w:tcW w:w="160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Fourth Quarter</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step-up basis in inventory</w:t>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expenses</w:t>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Income tax effect of above adjustments </w:t>
            </w:r>
            <w:r>
              <w:rPr>
                <w:rFonts w:ascii="Times New Roman;serif" w:hAnsi="Times New Roman;serif"/>
                <w:b w:val="false"/>
                <w:color w:val="000000"/>
                <w:sz w:val="13"/>
              </w:rPr>
              <w:t>(1)</w:t>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55,004 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52,306 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55,765 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63,338 </w:t>
            </w:r>
          </w:p>
        </w:tc>
        <w:tc>
          <w:tcPr>
            <w:tcW w:w="20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w:t>
            </w:r>
          </w:p>
        </w:tc>
        <w:tc>
          <w:tcPr>
            <w:tcW w:w="240"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57,421 </w:t>
            </w:r>
          </w:p>
        </w:tc>
        <w:tc>
          <w:tcPr>
            <w:tcW w:w="12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64,289 </w:t>
            </w:r>
          </w:p>
        </w:tc>
        <w:tc>
          <w:tcPr>
            <w:tcW w:w="13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87,272 </w:t>
            </w:r>
          </w:p>
        </w:tc>
        <w:tc>
          <w:tcPr>
            <w:tcW w:w="13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80,301 </w:t>
            </w:r>
          </w:p>
        </w:tc>
        <w:tc>
          <w:tcPr>
            <w:tcW w:w="20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weighted-average shares — diluted </w:t>
            </w:r>
            <w:r>
              <w:rPr>
                <w:rFonts w:ascii="Times New Roman;serif" w:hAnsi="Times New Roman;serif"/>
                <w:b w:val="false"/>
                <w:color w:val="000000"/>
                <w:sz w:val="13"/>
              </w:rPr>
              <w:t>(2)</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39,446,458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39,439,890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40,076,457</w:t>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earnings per share</w:t>
            </w:r>
            <w:r>
              <w:rPr>
                <w:color w:val="000000"/>
              </w:rPr>
              <w:t xml:space="preserve"> </w:t>
            </w:r>
            <w:r>
              <w:rPr>
                <w:rFonts w:ascii="Times New Roman;serif" w:hAnsi="Times New Roman;serif"/>
                <w:b w:val="false"/>
                <w:color w:val="000000"/>
                <w:sz w:val="13"/>
              </w:rPr>
              <w:t>(2)</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income tax effect of the adjustments was calculated by applying our blended federal and state statutory rate to the adjustments that have a tax effect. The blended federal and state statutory rate for the three months ended March 31, June 30, September 30, and December 31, 2025 were 25.8%, 25.7%, 21.8%, and 25.5%, respectively. As such, the non-GAAP effective tax rates for the three months ended March 31, June 30, September 30, and December 31, 2025 were 25.4%, 25.5%, 21.7%, and 23.6%, respectively.</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(2)Adjusted weighted-average shares - diluted were calculated using the “if-converted” method for the convertible notes in accordance with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As such, adjusted weighted-average shares – diluted includes shares related to the assumed conversion of our convertible notes and the associated cash interest expense added-back to non-GAAP adjusted net income. For the three months ended March 31, June 30, September 30, and December 31, 2025, adjusted weighted-average shares – diluted includes 6,606,305 shares attributable to our convertible notes. In addition, adjusted earnings per share includes other potentially dilutive securities to the extent that they are not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primary exposure to market risk is interest rate sensitivity in connection with our investment portfolio and the 2025 Term Loan. None of these market risk sensitive instruments are held for trading purposes.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investment portfolio includes financial instruments that are sensitive to interest rate risks. Our investment portfolio is used to preserve capital, maintain liquidity sufficient to meet cash flow requirements, and maximize returns commensurate with our risk appetite. We invest in instruments that meet the credit quality, diversification, liquidity, and maturity standards outlined in our investment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investment portfolio includes $119.4 million of cash equivalents and $155.4 million of marketable securities, which are primarily comprised of money market funds, commercial paper, corporate debt securities, and government-sponsored debt securities. Our money market funds are short-term highly liquid investments, and our marketable securities have active secondary or resale markets to help ensure liquidity. We account for marketable securities as available-for-sale and, thus, no gains or losses are realized due to changes in the fair value of our marketable securities unless we sell our investments prior to maturity or incur a credit loss. Furthermore, our investment policy includes guidelines limiting the term-to-maturity of our investments. Due to the nature of our investments, we do not believe that the fair value of our investments has a material exposure to interest rate risk.</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2025 Term Loan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2025 Term Loan bears interest at an annual rate equal to Secured Overnight Financing Rate (“SOFR”) plus a spread adjustment ranging from 2.75% to 3.75%. The 2025 Term Loan is subject to quarterly amortization payments of the originally funded amount equal to 1.25% in each quarter of 2026, 1.875% in each quarter of 2027 and 2028, and 2.5% in each quarter of 2029 and 2030, with the remaining principal payable at maturity. Based on the outstanding principal amount of the 2025 Term Loan as of December 31, 2025 of $580.0 million, a hypothetical 1% increase or decrease in interest rates would increase or decrease future annual interest expense by approximately $5.8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 Consolidated Financial Statements and Supplementary Data</w:t>
      </w:r>
    </w:p>
    <w:p>
      <w:pPr>
        <w:pStyle w:val="TextBody"/>
        <w:bidi w:val="0"/>
        <w:spacing w:lineRule="auto" w:line="288" w:before="0" w:after="200"/>
        <w:jc w:val="left"/>
        <w:rPr/>
      </w:pPr>
      <w:r>
        <w:rPr>
          <w:rFonts w:ascii="Times New Roman;serif" w:hAnsi="Times New Roman;serif"/>
          <w:b w:val="false"/>
          <w:color w:val="000000"/>
          <w:sz w:val="20"/>
        </w:rPr>
        <w:t>Our Consolidated Financial Statements, together with the reports of our independent registered public accounting firms, begin on page F</w:t>
      </w:r>
      <w:r>
        <w:rPr>
          <w:rFonts w:ascii="Cambria Math;serif" w:hAnsi="Cambria Math;serif"/>
          <w:b w:val="false"/>
          <w:color w:val="000000"/>
          <w:sz w:val="20"/>
        </w:rPr>
        <w:t>-</w:t>
      </w:r>
      <w:r>
        <w:rPr>
          <w:rFonts w:ascii="Times New Roman;serif" w:hAnsi="Times New Roman;serif"/>
          <w:b w:val="false"/>
          <w:color w:val="000000"/>
          <w:sz w:val="20"/>
        </w:rPr>
        <w:t>1 of this Form 10</w:t>
      </w:r>
      <w:r>
        <w:rPr>
          <w:rFonts w:ascii="Cambria Math;serif" w:hAnsi="Cambria Math;serif"/>
          <w:b w:val="false"/>
          <w:color w:val="000000"/>
          <w:sz w:val="20"/>
        </w:rPr>
        <w:t>-</w:t>
      </w:r>
      <w:r>
        <w:rPr>
          <w:rFonts w:ascii="Times New Roman;serif" w:hAnsi="Times New Roman;serif"/>
          <w:b w:val="false"/>
          <w:color w:val="000000"/>
          <w:sz w:val="20"/>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64"/>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the Chief Executive Officer and the Chief Financial Officer, has evaluated the effectiveness of our disclosure controls and procedures, as defined in Rules 13a-15(e) and 15d-15(e) under the Exchange Act, as of the end of the period covered by this report.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Based on this evaluation, our Chief Executive Officer and Chief Financial Officer concluded that our disclosure controls and procedures were effective as of December 31, 2025.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 </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(1)pertain to the maintenance of records that in reasonable detail accurately and fairly reflect the transactions and dispositions of our assets; </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directors; and </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(3)provide reasonable assurance regarding prevention or timely detection of unauthorized acquisition, use or disposition of our assets that could have a material effect on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Also, projections of any evaluation of effectiveness of internal control over financial reporting to future periods are subject to the risk that controls may become inadequate because of changes in conditions, or that the degree of compliance with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establishing and maintaining adequate internal control over our financial reporting, as such term is defined in Rules 13a 15(f) and 15d 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(COSO) to evaluate the effectiveness of our internal control over financial reporting.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evaluation, and subject to the exclusion above, management has concluded that our internal control over financial reporting was effective as of December 31, 2025.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our independent registered public accounting firm, Deloitte &amp; Touche LLP, as stated in their report which is included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required by Rule 13a-15(d) of the Exchange Act, our management, including our Chief Executive Officer and our Chief Financial Officer, conducted an evaluation of the internal control over financial reporting to determine whether any changes occurred during the quarter ended December 31, 2025 that have materially affected, or are reasonably likely to materially affect, our internal control over financial reporting. Based on that evaluation, our Chief Executive Officer and Chief Financial Officer did not identify any change in our internal control over financial reporting during the fiscal quarter ended December 31, 2025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Collegium Pharmaceutical,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Opinion on Internal Control over Financial Reporting </w:t>
      </w:r>
    </w:p>
    <w:p>
      <w:pPr>
        <w:pStyle w:val="TextBody"/>
        <w:bidi w:val="0"/>
        <w:spacing w:lineRule="auto" w:line="288" w:before="0" w:after="200"/>
        <w:jc w:val="left"/>
        <w:rPr/>
      </w:pPr>
      <w:r>
        <w:rPr>
          <w:rFonts w:ascii="Times New Roman;serif" w:hAnsi="Times New Roman;serif"/>
          <w:b w:val="false"/>
          <w:color w:val="000000"/>
          <w:sz w:val="20"/>
        </w:rPr>
        <w:t xml:space="preserve">We have audited the internal control over financial reporting of Collegium Pharmaceutical,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Definition and Limitations of Internal Control over Financial Reporting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Boston, Massachusetts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“Rule 10b5-1 trading arrangements” or “non-Rule 10b5-1 trading arrangements” (as each term is defined in Item 408(a) of Regulation S-K) adopted, amended, or terminated by our directors and officers during the three months ended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9"/>
        <w:gridCol w:w="207"/>
        <w:gridCol w:w="209"/>
        <w:gridCol w:w="109"/>
        <w:gridCol w:w="109"/>
        <w:gridCol w:w="109"/>
        <w:gridCol w:w="383"/>
        <w:gridCol w:w="383"/>
        <w:gridCol w:w="388"/>
        <w:gridCol w:w="109"/>
        <w:gridCol w:w="109"/>
        <w:gridCol w:w="109"/>
        <w:gridCol w:w="294"/>
        <w:gridCol w:w="294"/>
        <w:gridCol w:w="298"/>
        <w:gridCol w:w="109"/>
        <w:gridCol w:w="109"/>
        <w:gridCol w:w="109"/>
        <w:gridCol w:w="384"/>
        <w:gridCol w:w="298"/>
        <w:gridCol w:w="299"/>
        <w:gridCol w:w="109"/>
        <w:gridCol w:w="109"/>
        <w:gridCol w:w="109"/>
        <w:gridCol w:w="228"/>
        <w:gridCol w:w="228"/>
        <w:gridCol w:w="155"/>
        <w:gridCol w:w="142"/>
        <w:gridCol w:w="142"/>
        <w:gridCol w:w="142"/>
        <w:gridCol w:w="307"/>
        <w:gridCol w:w="307"/>
        <w:gridCol w:w="317"/>
        <w:gridCol w:w="109"/>
        <w:gridCol w:w="109"/>
        <w:gridCol w:w="109"/>
        <w:gridCol w:w="391"/>
        <w:gridCol w:w="391"/>
        <w:gridCol w:w="392"/>
        <w:gridCol w:w="109"/>
        <w:gridCol w:w="109"/>
        <w:gridCol w:w="109"/>
        <w:gridCol w:w="450"/>
        <w:gridCol w:w="340"/>
        <w:gridCol w:w="495"/>
      </w:tblGrid>
      <w:tr>
        <w:trPr/>
        <w:tc>
          <w:tcPr>
            <w:tcW w:w="37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Scheduled Expiration Date of Trading Plan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Shares Subject to Trading Plan</w:t>
            </w:r>
          </w:p>
        </w:tc>
      </w:tr>
      <w:tr>
        <w:trPr/>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Dieter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28,683 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Colleen Tupper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17,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4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w:t>
      </w:r>
      <w:r>
        <w:rPr>
          <w:rFonts w:ascii="Times New Roman;serif" w:hAnsi="Times New Roman;serif"/>
          <w:b w:val="false"/>
          <w:color w:val="000000"/>
          <w:sz w:val="20"/>
        </w:rPr>
        <w:t>1) A trading arrangement may expire on an earlier date if all contemplated transactions are completed before such trading arrangement’s expiration date, upon termination by broker or the holder of the trading arrangement, or as otherwise provided in the trading arrangement.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Each Rule 10b5-1 trading arrangement described above was adopted in compliance with Rule 10b5-1(c)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00"/>
        <w:jc w:val="left"/>
        <w:rPr/>
      </w:pPr>
      <w:r>
        <w:rPr>
          <w:rFonts w:ascii="Times New Roman;serif" w:hAnsi="Times New Roman;serif"/>
          <w:b w:val="false"/>
          <w:color w:val="000000"/>
          <w:sz w:val="20"/>
        </w:rPr>
        <w:t>Other than the information regarding our executive officers provided in Part I of this report under the heading “</w:t>
      </w:r>
      <w:r>
        <w:rPr>
          <w:rFonts w:ascii="Times New Roman;serif" w:hAnsi="Times New Roman;serif"/>
          <w:b w:val="false"/>
          <w:i/>
          <w:color w:val="000000"/>
          <w:sz w:val="20"/>
        </w:rPr>
        <w:t>Business</w:t>
      </w:r>
      <w:r>
        <w:rPr>
          <w:color w:val="000000"/>
        </w:rPr>
        <w:t xml:space="preserve"> — </w:t>
      </w:r>
      <w:r>
        <w:rPr>
          <w:rFonts w:ascii="Times New Roman;serif" w:hAnsi="Times New Roman;serif"/>
          <w:b w:val="false"/>
          <w:i/>
          <w:color w:val="000000"/>
          <w:sz w:val="20"/>
        </w:rPr>
        <w:t>Our Executive Officers</w:t>
      </w:r>
      <w:r>
        <w:rPr>
          <w:rFonts w:ascii="Times New Roman;serif" w:hAnsi="Times New Roman;serif"/>
          <w:b w:val="false"/>
          <w:color w:val="000000"/>
          <w:sz w:val="20"/>
        </w:rPr>
        <w:t>,” the information required to be furnished pursuant to this item is incorporated herein by reference to our definitive proxy statement for the 2026 Annual Meeting of the Shareholders.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 Code of Ethics applicable to all of our employees, executive officers and directors. The Code of Ethics is available on our website at www.collegiumpharma.com. Our Board of Directors is responsible for overseeing compliance with the Code of Ethics, and our Board of Directors or an appropriate committee thereof must approve any waivers of the Code of Ethics for employees, executive officers or directors. Disclosure regarding any amendments to the Code of Ethics, or any waivers of its requirements, will be made on our website.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Insider Trading Policies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an Insider Trading Policy which governs the purchase, sales, and/or other dispositions of our securities by directors, officers, and employees. Our Insider Trading Policy is attached hereto as Exhibit 19 and incorporated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11 is incorporated herein by reference from our definitive proxy statement for the 2026 Annual Meeting of Shareholders under the captions “Compensation Discussion and Analysis,” “Executive Compensation” (excluding the information under the heading “Pay Versus Performance”), “Director Compensation” and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12 is incorporated herein by reference from our definitive proxy statement for the 2026 Annual Meeting of Shareholders under the captions “Security Ownership of Certain Beneficial Owners and Management” and “Securities Authorized for Issuance Under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13 is incorporated herein by reference from our definitive proxy statement for the 2026 Annual Meeting of Shareholders under the captions “Certain Relationships and Related Party Transactions” and “Election of Directors –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14 is incorporated herein by reference from our definitive proxy statement for the 2026 Annual Meeting of Shareholders under the captions “Ratification of Appointment of Independent Registered Public Accounting Firm - Independent Registered Public Accountants’ Fees” and “Ratification of Appointment of Independent Registered Public Accounting Firm – Pre-Approval Policies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Consolidated Financial Statements</w:t>
      </w:r>
    </w:p>
    <w:p>
      <w:pPr>
        <w:pStyle w:val="TextBody"/>
        <w:bidi w:val="0"/>
        <w:spacing w:lineRule="auto" w:line="288" w:before="0" w:after="200"/>
        <w:jc w:val="left"/>
        <w:rPr/>
      </w:pPr>
      <w:r>
        <w:rPr>
          <w:rFonts w:ascii="Times New Roman;serif" w:hAnsi="Times New Roman;serif"/>
          <w:b w:val="false"/>
          <w:color w:val="000000"/>
          <w:sz w:val="20"/>
        </w:rPr>
        <w:t>Refer to Part II, Item 8 for the Consolidated Financial Statements required to be included in this Form 10</w:t>
      </w:r>
      <w:r>
        <w:rPr>
          <w:rFonts w:ascii="Cambria Math;serif" w:hAnsi="Cambria Math;serif"/>
          <w:b w:val="false"/>
          <w:color w:val="000000"/>
          <w:sz w:val="20"/>
        </w:rPr>
        <w:t>-</w:t>
      </w:r>
      <w:r>
        <w:rPr>
          <w:rFonts w:ascii="Times New Roman;serif" w:hAnsi="Times New Roman;serif"/>
          <w:b w:val="false"/>
          <w:color w:val="000000"/>
          <w:sz w:val="20"/>
        </w:rPr>
        <w:t>K.</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Consolidated Financial Statement Schedules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are omitted because they are not applicable or the required information is included in the Consolidated Financial Statements or notes thereto.</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409"/>
        <w:gridCol w:w="359"/>
        <w:gridCol w:w="360"/>
        <w:gridCol w:w="109"/>
        <w:gridCol w:w="109"/>
        <w:gridCol w:w="109"/>
        <w:gridCol w:w="2954"/>
        <w:gridCol w:w="2726"/>
        <w:gridCol w:w="2687"/>
        <w:gridCol w:w="111"/>
        <w:gridCol w:w="111"/>
        <w:gridCol w:w="161"/>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Agreement and Plan of Merger, dated as of February 14, 2022, by and among Collegium Pharmaceutical, Inc., Bristol Acquisition Company, Inc. and BioDelivery Sciences International, Inc.</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Agreement and Plan of Merger, dated as of July 28, 2024, by and among Collegium Pharmaceutical Inc., Ironshore Therapeutics Inc. and Shareholder Representative Services LLC</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Third Amended and Restated Articles of Incorporation of Collegium Pharmaceutical, Inc.</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Bylaws of Collegium Pharmaceutical, Inc.</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dated as of February 13, 2020, between Collegium Pharmaceutical, Inc. and The Bank of New York Mellon Trust Company, N.A., as trustee.</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First Supplemental Indenture, dated as of February 13, 2020, between Collegium Pharmaceutical, Inc. and The Bank of New York Mellon Trust Company, N.A., as trustee.</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certificate representing the 2.625% Convertible Senior Notes due 2026 (included as Exhibit A to Exhibit 4.2).</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February 10, 2023, between Collegium Pharmaceutical, Inc. and The Bank of New York Mellon Trust Company, N.A., as trustee.</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certificate representing the 2.875% Convertible Senior Notes due 2029 (included as Exhibit A to Exhibit 4.4).</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Description of the Registrant’s Securities Registered Pursuant to Section 12 of the Securities Exchange Act of 1934.</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Office Lease agreement by and between Campanelli-Trigate 100 TCD Stoughton, LLC, and Collegium Pharmaceutical, Inc as of March 23, 2018.</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(8)</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2015 Employee Stock Purchase Plan.</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(9)</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Performance Bonus Plan.</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(10)</w:t>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80"/>
                  <w:sz w:val="20"/>
                  <w:u w:val="single"/>
                </w:rPr>
                <w:t>2</w:t>
              </w:r>
            </w:hyperlink>
            <w:hyperlink r:id="rId18">
              <w:r>
                <w:rPr>
                  <w:rStyle w:val="InternetLink"/>
                  <w:rFonts w:ascii="Times New Roman;serif" w:hAnsi="Times New Roman;serif"/>
                  <w:b w:val="false"/>
                  <w:color w:val="000080"/>
                  <w:sz w:val="20"/>
                  <w:u w:val="single"/>
                </w:rPr>
                <w:t>025 Equity Incentive Plan</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(19)</w:t>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Incentive Stock Option Award Agreement under the 2025 Equity Incentive Plan.</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(20)</w:t>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Non-Qualified Stock Option Agreement under the 2025 Equity Incentive Plan.</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(20)</w:t>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Restricted Stock Unit Award Agreement under the 2025 Equity Incentive Plan.</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(20)</w:t>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Performance-Based Restricted Stock Unit Award Agreement under the 2025 Equity Incentive Plan.</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(20)</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Indemnification Agreement.</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(10)</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Amended &amp; Restated Employment Agreement, dated December 27, 2020, by and between Collegium Pharmaceutical, Inc. and Scott Dreyer.</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(12)</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License Agreement (U.S.), dated as of January 13, 2015, by and among Grünenthal GmbH, Janssen Research &amp; Development, LLC, Assertio Therapeutics, Inc. and Collegium Pharmaceutical, Inc.</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(13)</w:t>
            </w:r>
          </w:p>
        </w:tc>
      </w:tr>
      <w:tr>
        <w:trPr/>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Consent Agreement, dated January 30, 2020, by and among Grünenthal GmbH, Assertio Therapeutics, Inc. and Collegium Pharmaceutical, Inc.</w:t>
              </w:r>
            </w:hyperlink>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(13)</w:t>
            </w:r>
          </w:p>
        </w:tc>
      </w:tr>
      <w:tr>
        <w:trPr/>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Settlement Agreement, dated September 29, 2020, by and among Collegium Pharmaceutical, Inc. and Teva Pharmaceuticals USA, Inc.</w:t>
              </w:r>
            </w:hyperlink>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ad25bcb385e41bf966f247faa2ba0c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6"/>
        <w:gridCol w:w="109"/>
        <w:gridCol w:w="109"/>
        <w:gridCol w:w="109"/>
        <w:gridCol w:w="109"/>
        <w:gridCol w:w="2935"/>
        <w:gridCol w:w="2910"/>
        <w:gridCol w:w="2916"/>
        <w:gridCol w:w="109"/>
        <w:gridCol w:w="109"/>
        <w:gridCol w:w="159"/>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Employment Agreement, dated May 24, 2021, by and between Colleen Tupper and Collegium Pharmaceutical, Inc.</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(15)</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ollegium_truist-creditagr.htm">
              <w:r>
                <w:rPr>
                  <w:rStyle w:val="InternetLink"/>
                  <w:rFonts w:ascii="Times New Roman;serif" w:hAnsi="Times New Roman;serif"/>
                  <w:b w:val="false"/>
                  <w:color w:val="0000FF"/>
                  <w:sz w:val="20"/>
                  <w:u w:val="single"/>
                </w:rPr>
                <w:t>Credit Agreement, dated December 23, 2025, by and among Collegium Pharmaceutical, Inc., the lenders from time to time party thereto and Truist Bank, as administrative agent.</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r>
              <w:rPr>
                <w:rFonts w:ascii="Times New Roman;serif" w:hAnsi="Times New Roman;serif"/>
                <w:b w:val="false"/>
                <w:color w:val="000000"/>
                <w:sz w:val="20"/>
              </w:rPr>
              <w:t>*</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Authorized Generic Agreement by and between Collegium Pharmaceutical Inc.and Hikma Pharmaceuticals USA Inc., dated April 26, 2024.</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73" w:before="0" w:after="40"/>
              <w:jc w:val="left"/>
              <w:rPr>
                <w:rFonts w:ascii="Times New Roman;serif" w:hAnsi="Times New Roman;serif"/>
                <w:b w:val="false"/>
                <w:color w:val="000000"/>
                <w:sz w:val="13"/>
              </w:rPr>
            </w:pPr>
            <w:r>
              <w:rPr>
                <w:rFonts w:ascii="Times New Roman;serif" w:hAnsi="Times New Roman;serif"/>
                <w:b w:val="false"/>
                <w:color w:val="000000"/>
                <w:sz w:val="13"/>
              </w:rPr>
              <w:t>(16)</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Exclusive License Agreement, dated April 4, 2019, between the Company and Shionogi, Inc. (incorporated by reference to Exhibit 10.19 to the Annual Report on Form 10-K filed by BDSI on March 9, 2022).</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(17)</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Amendment to Employment Agreement, dated January 20, 2022 by and between Collegium Pharmaceutical, Inc. and Colleen Tupper.</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(17)</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Amendment to Employment Agreement, dated January 20, 2022 by and between Collegium Pharmaceutical, Inc. and Scott Dreyer.</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(17)</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Employment Agreement, dated March 23, 2022 by and between Collegium Pharmaceutical, Inc. and Thomas Smith.</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(17)</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Employment Agreement, dated November 12, 2024 by and between Collegium Pharmaceutical, Inc. and Vikram Karnani.</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(21)</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Employment Agreement, dated March 4, 2025, by and between David Dieter and Collegium Pharmaceutical, Inc.</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(18)</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Insider Trading Policy</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(11)</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oll_ex21x1.htm">
              <w:r>
                <w:rPr>
                  <w:rStyle w:val="InternetLink"/>
                  <w:rFonts w:ascii="Times New Roman;serif" w:hAnsi="Times New Roman;serif"/>
                  <w:b w:val="false"/>
                  <w:color w:val="0000FF"/>
                  <w:sz w:val="20"/>
                  <w:u w:val="single"/>
                </w:rPr>
                <w:t>Subsidiaries of Collegium Pharmaceutical, Inc.</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oll_ex23x1.htm">
              <w:r>
                <w:rPr>
                  <w:rStyle w:val="InternetLink"/>
                  <w:rFonts w:ascii="Times New Roman;serif" w:hAnsi="Times New Roman;serif"/>
                  <w:b w:val="false"/>
                  <w:color w:val="0000FF"/>
                  <w:sz w:val="20"/>
                  <w:u w:val="single"/>
                </w:rPr>
                <w:t>Consent of Deloitte &amp; Touche LLP, Independent Registered Public Accounting Firm.</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oll-20251231xex311.htm">
              <w:r>
                <w:rPr>
                  <w:rStyle w:val="InternetLink"/>
                  <w:rFonts w:ascii="Times New Roman;serif" w:hAnsi="Times New Roman;serif"/>
                  <w:b w:val="false"/>
                  <w:color w:val="000080"/>
                  <w:sz w:val="20"/>
                  <w:u w:val="single"/>
                </w:rPr>
                <w:t>Certifying Statement of the Chief Executive Officer pursuant to Section 302 of the Sarbanes</w:t>
              </w:r>
            </w:hyperlink>
            <w:hyperlink w:anchor="coll-20251231xex311.htm">
              <w:r>
                <w:rPr>
                  <w:rStyle w:val="InternetLink"/>
                  <w:rFonts w:ascii="Times New Roman;serif" w:hAnsi="Times New Roman;serif"/>
                  <w:b w:val="false"/>
                  <w:color w:val="000080"/>
                  <w:sz w:val="20"/>
                  <w:u w:val="single"/>
                </w:rPr>
                <w:noBreakHyphen/>
              </w:r>
            </w:hyperlink>
            <w:hyperlink w:anchor="coll-20251231xex311.htm">
              <w:r>
                <w:rPr>
                  <w:rStyle w:val="InternetLink"/>
                  <w:rFonts w:ascii="Times New Roman;serif" w:hAnsi="Times New Roman;serif"/>
                  <w:b w:val="false"/>
                  <w:color w:val="000080"/>
                  <w:sz w:val="20"/>
                  <w:u w:val="single"/>
                </w:rPr>
                <w:t>Oxley Act of 2002.</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oll-20251231xex312.htm">
              <w:r>
                <w:rPr>
                  <w:rStyle w:val="InternetLink"/>
                  <w:rFonts w:ascii="Times New Roman;serif" w:hAnsi="Times New Roman;serif"/>
                  <w:b w:val="false"/>
                  <w:color w:val="000080"/>
                  <w:sz w:val="20"/>
                  <w:u w:val="single"/>
                </w:rPr>
                <w:t>Certifying Statement of the Chief Financial Officer pursuant to Section 302 of the Sarbanes</w:t>
              </w:r>
            </w:hyperlink>
            <w:hyperlink w:anchor="coll-20251231xex312.htm">
              <w:r>
                <w:rPr>
                  <w:rStyle w:val="InternetLink"/>
                  <w:rFonts w:ascii="Times New Roman;serif" w:hAnsi="Times New Roman;serif"/>
                  <w:b w:val="false"/>
                  <w:color w:val="000080"/>
                  <w:sz w:val="20"/>
                  <w:u w:val="single"/>
                </w:rPr>
                <w:noBreakHyphen/>
              </w:r>
            </w:hyperlink>
            <w:hyperlink w:anchor="coll-20251231xex312.htm">
              <w:r>
                <w:rPr>
                  <w:rStyle w:val="InternetLink"/>
                  <w:rFonts w:ascii="Times New Roman;serif" w:hAnsi="Times New Roman;serif"/>
                  <w:b w:val="false"/>
                  <w:color w:val="000080"/>
                  <w:sz w:val="20"/>
                  <w:u w:val="single"/>
                </w:rPr>
                <w:t>Oxley Act of 2002.</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oll-20251231xex321.htm">
              <w:r>
                <w:rPr>
                  <w:rStyle w:val="InternetLink"/>
                  <w:rFonts w:ascii="Times New Roman;serif" w:hAnsi="Times New Roman;serif"/>
                  <w:b w:val="false"/>
                  <w:color w:val="0000FF"/>
                  <w:sz w:val="20"/>
                  <w:u w:val="single"/>
                </w:rPr>
                <w:t>Certifying Statement of the Chief Executive Officer pursuant to Section 1350 of Title 18 of the United States Code.</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oll-20251231xex322.htm">
              <w:r>
                <w:rPr>
                  <w:rStyle w:val="InternetLink"/>
                  <w:rFonts w:ascii="Times New Roman;serif" w:hAnsi="Times New Roman;serif"/>
                  <w:b w:val="false"/>
                  <w:color w:val="0000FF"/>
                  <w:sz w:val="20"/>
                  <w:u w:val="single"/>
                </w:rPr>
                <w:t>Certifying Statement of the Chief Financial Officer pursuant to Section 1350 of Title 18 of the United States Code.</w:t>
              </w:r>
            </w:hyperlink>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Compensation Recovery Policy</w:t>
              </w:r>
            </w:hyperlink>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3"/>
              </w:rPr>
            </w:pPr>
            <w:r>
              <w:rPr>
                <w:rFonts w:ascii="Times New Roman;serif" w:hAnsi="Times New Roman;serif"/>
                <w:b w:val="false"/>
                <w:color w:val="000000"/>
                <w:sz w:val="13"/>
              </w:rPr>
              <w:t>(11)</w:t>
            </w:r>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this Annual Report on Form 10-K for the year ended December 31, 2025, formatted in Inline XBRL: (i) Consolidated Balance Sheets as of December 31, 2025 and 2024, (ii) Consolidated Statements of Operations for the years ended December 31, 2025, 2024 and 2023, (iii) Consolidated Statements of Shareholders' Equity for the Years Ended December 31, 2025, 2024 and 2023, (iv) Consolidated Statements of Cash Flows for the years ended December 31, 2025, 2024 and 2023, and (v) Notes to Consolidated Financial Statements, tagged as blocks of text.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Previously filed.</w:t>
      </w:r>
    </w:p>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*Certain portions of the exhibits that are not material and would be competitively harmful if publicly disclosed have been redacted pursuant to Item 601(b)(10)(iv) of Regulation S-K. Copies of the unredacted exhibits will be furnished to the Securities and Exchange Commission (“SEC”) upon request.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(1)Previously filed as an exhibit to the registrant’s Current Report on Form 8-K filed with the SEC on February 14, 2022.</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(2)Previously filed as an exhibit to the registrant’s Current Report on Form 8-K filed with the SEC on July 29, 2024.</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(3)Previously filed as an exhibit to the registrant’s Quarterly Report on Form 10-Q for the quarterly period ended June 30, 2020 filed with the SEC on August 5, 2020.</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(4)Previously filed as an exhibit to the registrant’s Current Report on Form 8-K filed with the SEC on December 4, 2017.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(5)Previously filed as an exhibit to the registrant’s Current Report on Form 8-K filed with the SEC on February 13, 2020.</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(6)Previously filed as an exhibit to the registrant’s Current Report on Form 8-K filed with the SEC on February 13, 2023.</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(7)Previously filed as an exhibit to the registrant’s Annual Report on Form 10-K for the year ended December 31, 2022 filed with the SEC on February 23, 2023.</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(8)Previously filed as an exhibit to the registrant’s Quarterly Report on Form 10-Q for the quarterly period ended March 31, 2018 filed with the SEC on May 9, 2018.</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(9)Previously filed as an exhibit to the registrant’s Registration Statement on Form S-8 (File No. 333-207744) filed with the SEC on November 2, 2015.</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(10)Previously filed as an exhibit to the registrant’s Registration Statement on Form S-1/A (File No. 333-203208) filed with the SEC on April 27, 2015.</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(11)Previously filed as an exhibit to the registrant’s Annual Report on Form 10-K for the year ended December 31, 2023 filed with the SEC on February 22, 2024.</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(12)Previously filed as an exhibit to the registrant’s Current Report on Form 8-K filed with the SEC on December 30, 2020.</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(13)Previously filed as an exhibit to the registrant’s Quarterly Report on Form 10-Q for the quarterly period ended March 31, 2020 filed with the SEC on May 7, 2020.</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(14)Previously filed as an exhibit to the registrant’s Current Report on Form 8-K filed with the SEC on September 30, 2020.</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(15)Previously filed as an exhibit to the registrant’s Quarterly Report on Form 10-Q for the quarterly period ended June 30, 2021 filed with the SEC August 5, 2021.</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(16)Previously filed as an exhibit to the registrant’s Quarterly Report on Form 10-Q for the quarterly period ended June 30, 2024 filed with the SEC on August 8, 2024.</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(17)Previously filed as an exhibit to the registrant’s Quarterly Report on Form 10-Q for the quarterly period ended March 31, 2022 filed with the SEC May 10, 2022.</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(18)Previously filed as an exhibit to the registrant’s Quarterly Report on Form 10-Q for the quarterly period ended March 31, 2025 filed with the SEC May 8, 2025.</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(19)Previously filed as an exhibit to the registrant’s Current Report on Form 8-K filed with the SEC on May 19, 2025.</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(20)Previously filed as an exhibit to the registrant’s Registration Statement on Form S-8 (File No. 333-287838) filed with the SEC on June 6, 2025.</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(21)Previously filed as an exhibit to the registrant’s Annual Report on Form 10-K for the year ended December 31, 2024 filed with the SEC on February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3926" w:type="dxa"/>
        <w:jc w:val="left"/>
        <w:tblInd w:w="0" w:type="dxa"/>
        <w:tblLayout w:type="fixed"/>
        <w:tblCellMar>
          <w:top w:w="28" w:type="dxa"/>
          <w:left w:w="28" w:type="dxa"/>
          <w:bottom w:w="28" w:type="dxa"/>
          <w:right w:w="28" w:type="dxa"/>
        </w:tblCellMar>
      </w:tblPr>
      <w:tblGrid>
        <w:gridCol w:w="124"/>
        <w:gridCol w:w="109"/>
        <w:gridCol w:w="109"/>
        <w:gridCol w:w="1049"/>
        <w:gridCol w:w="1049"/>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COLLEGIUM PHARMACEUTICAL,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Vikram Karnani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10205" w:type="dxa"/>
        <w:jc w:val="left"/>
        <w:tblInd w:w="0" w:type="dxa"/>
        <w:tblLayout w:type="fixed"/>
        <w:tblCellMar>
          <w:top w:w="28" w:type="dxa"/>
          <w:left w:w="28" w:type="dxa"/>
          <w:bottom w:w="28" w:type="dxa"/>
          <w:right w:w="28" w:type="dxa"/>
        </w:tblCellMar>
      </w:tblPr>
      <w:tblGrid>
        <w:gridCol w:w="803"/>
        <w:gridCol w:w="690"/>
        <w:gridCol w:w="642"/>
        <w:gridCol w:w="109"/>
        <w:gridCol w:w="109"/>
        <w:gridCol w:w="109"/>
        <w:gridCol w:w="1992"/>
        <w:gridCol w:w="1951"/>
        <w:gridCol w:w="1977"/>
        <w:gridCol w:w="109"/>
        <w:gridCol w:w="109"/>
        <w:gridCol w:w="109"/>
        <w:gridCol w:w="434"/>
        <w:gridCol w:w="434"/>
        <w:gridCol w:w="628"/>
      </w:tblGrid>
      <w:tr>
        <w:trPr/>
        <w:tc>
          <w:tcPr>
            <w:tcW w:w="80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Vikram Karnani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Vikram Karnani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Colleen Tupper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Colleen Tupper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Gino Santini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Gino Santini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Rita Balice-Gordon,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Rita Balice-Gordon,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Garen G. Bohlin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Garen G. Bohlin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A. Fallon,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John A. Fallon,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Nancy Lurker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Nancy Lurker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Gwen Melincoff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Gwen Melincoff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Carlos Paya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1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Carlos Paya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in the capacities and on the dates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913" w:type="dxa"/>
        <w:jc w:val="left"/>
        <w:tblInd w:w="0" w:type="dxa"/>
        <w:tblLayout w:type="fixed"/>
        <w:tblCellMar>
          <w:top w:w="28" w:type="dxa"/>
          <w:left w:w="28" w:type="dxa"/>
          <w:bottom w:w="28" w:type="dxa"/>
          <w:right w:w="28" w:type="dxa"/>
        </w:tblCellMar>
      </w:tblPr>
      <w:tblGrid>
        <w:gridCol w:w="3239"/>
        <w:gridCol w:w="2847"/>
        <w:gridCol w:w="2854"/>
        <w:gridCol w:w="109"/>
        <w:gridCol w:w="109"/>
        <w:gridCol w:w="109"/>
        <w:gridCol w:w="189"/>
        <w:gridCol w:w="189"/>
        <w:gridCol w:w="268"/>
      </w:tblGrid>
      <w:tr>
        <w:trPr/>
        <w:tc>
          <w:tcPr>
            <w:tcW w:w="323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Audited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Pages</w:t>
            </w:r>
          </w:p>
        </w:tc>
      </w:tr>
      <w:tr>
        <w:trPr/>
        <w:tc>
          <w:tcPr>
            <w:tcW w:w="89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dad25bcb385e41bf966f247faa2ba0c6_127">
              <w:r>
                <w:rPr>
                  <w:rStyle w:val="InternetLink"/>
                  <w:rFonts w:ascii="Times New Roman;serif" w:hAnsi="Times New Roman;serif"/>
                  <w:b w:val="false"/>
                  <w:color w:val="0000FF"/>
                  <w:sz w:val="20"/>
                  <w:u w:val="single"/>
                </w:rPr>
                <w:t>Report of Independent Registered Public Accounting Firm</w:t>
              </w:r>
            </w:hyperlink>
            <w:hyperlink w:anchor="idad25bcb385e41bf966f247faa2ba0c6_127">
              <w:r>
                <w:rPr>
                  <w:rStyle w:val="InternetLink"/>
                  <w:strike w:val="false"/>
                  <w:dstrike w:val="false"/>
                  <w:color w:val="000000"/>
                  <w:u w:val="none"/>
                  <w:effect w:val="none"/>
                </w:rPr>
                <w:t xml:space="preserve"> </w:t>
              </w:r>
            </w:hyperlink>
            <w:hyperlink w:anchor="idad25bcb385e41bf966f247faa2ba0c6_127">
              <w:r>
                <w:rPr>
                  <w:rStyle w:val="InternetLink"/>
                  <w:rFonts w:ascii="Times New Roman;serif" w:hAnsi="Times New Roman;serif"/>
                  <w:b w:val="false"/>
                  <w:strike w:val="false"/>
                  <w:dstrike w:val="false"/>
                  <w:color w:val="000000"/>
                  <w:sz w:val="20"/>
                  <w:u w:val="none"/>
                  <w:effect w:val="none"/>
                </w:rPr>
                <w:t>(</w:t>
              </w:r>
            </w:hyperlink>
            <w:hyperlink w:anchor="idad25bcb385e41bf966f247faa2ba0c6_127">
              <w:r>
                <w:rPr>
                  <w:rStyle w:val="InternetLink"/>
                  <w:rFonts w:ascii="Times New Roman;serif" w:hAnsi="Times New Roman;serif"/>
                  <w:b w:val="false"/>
                  <w:i/>
                  <w:strike w:val="false"/>
                  <w:dstrike w:val="false"/>
                  <w:color w:val="000000"/>
                  <w:sz w:val="20"/>
                  <w:u w:val="none"/>
                  <w:effect w:val="none"/>
                </w:rPr>
                <w:t xml:space="preserve">PCAOB ID </w:t>
              </w:r>
            </w:hyperlink>
            <w:r>
              <w:rPr>
                <w:rFonts w:ascii="Times New Roman;serif" w:hAnsi="Times New Roman;serif"/>
                <w:b w:val="false"/>
                <w:i/>
                <w:color w:val="000000"/>
                <w:sz w:val="20"/>
              </w:rPr>
              <w:t>34</w:t>
            </w:r>
            <w:hyperlink w:anchor="idad25bcb385e41bf966f247faa2ba0c6_127">
              <w:r>
                <w:rPr>
                  <w:rStyle w:val="InternetLink"/>
                  <w:rFonts w:ascii="Times New Roman;serif" w:hAnsi="Times New Roman;serif"/>
                  <w:b w:val="false"/>
                  <w:strike w:val="false"/>
                  <w:dstrike w:val="false"/>
                  <w:color w:val="000000"/>
                  <w:sz w:val="20"/>
                  <w:u w:val="none"/>
                  <w:effect w:val="non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ad25bcb385e41bf966f247faa2ba0c6_127">
              <w:r>
                <w:rPr>
                  <w:rStyle w:val="InternetLink"/>
                  <w:rFonts w:ascii="Times New Roman;serif" w:hAnsi="Times New Roman;serif"/>
                  <w:b w:val="false"/>
                  <w:strike w:val="false"/>
                  <w:dstrike w:val="false"/>
                  <w:color w:val="000000"/>
                  <w:sz w:val="20"/>
                  <w:u w:val="none"/>
                  <w:effect w:val="none"/>
                </w:rPr>
                <w:t>F-2</w:t>
              </w:r>
            </w:hyperlink>
          </w:p>
        </w:tc>
      </w:tr>
      <w:tr>
        <w:trPr/>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30">
              <w:r>
                <w:rPr>
                  <w:rStyle w:val="InternetLink"/>
                  <w:rFonts w:ascii="Times New Roman;serif" w:hAnsi="Times New Roman;serif"/>
                  <w:b w:val="false"/>
                  <w:color w:val="000080"/>
                  <w:sz w:val="20"/>
                  <w:u w:val="single"/>
                </w:rPr>
                <w:t>Consolidated Balance Sheets as of December 31, 202</w:t>
              </w:r>
            </w:hyperlink>
            <w:hyperlink w:anchor="idad25bcb385e41bf966f247faa2ba0c6_130">
              <w:r>
                <w:rPr>
                  <w:rStyle w:val="InternetLink"/>
                  <w:rFonts w:ascii="Times New Roman;serif" w:hAnsi="Times New Roman;serif"/>
                  <w:b w:val="false"/>
                  <w:color w:val="000080"/>
                  <w:sz w:val="20"/>
                  <w:u w:val="single"/>
                </w:rPr>
                <w:t>5</w:t>
              </w:r>
            </w:hyperlink>
            <w:hyperlink w:anchor="idad25bcb385e41bf966f247faa2ba0c6_130">
              <w:r>
                <w:rPr>
                  <w:rStyle w:val="InternetLink"/>
                  <w:rFonts w:ascii="Times New Roman;serif" w:hAnsi="Times New Roman;serif"/>
                  <w:b w:val="false"/>
                  <w:color w:val="000080"/>
                  <w:sz w:val="20"/>
                  <w:u w:val="single"/>
                </w:rPr>
                <w:t xml:space="preserve"> and 202</w:t>
              </w:r>
            </w:hyperlink>
            <w:hyperlink w:anchor="idad25bcb385e41bf966f247faa2ba0c6_130">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30">
              <w:r>
                <w:rPr>
                  <w:rStyle w:val="InternetLink"/>
                  <w:rFonts w:ascii="Times New Roman;serif" w:hAnsi="Times New Roman;serif"/>
                  <w:b w:val="false"/>
                  <w:strike w:val="false"/>
                  <w:dstrike w:val="false"/>
                  <w:color w:val="000000"/>
                  <w:sz w:val="20"/>
                  <w:u w:val="none"/>
                  <w:effect w:val="none"/>
                </w:rPr>
                <w:t>F-4</w:t>
              </w:r>
            </w:hyperlink>
          </w:p>
        </w:tc>
      </w:tr>
      <w:tr>
        <w:trPr/>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33">
              <w:r>
                <w:rPr>
                  <w:rStyle w:val="InternetLink"/>
                  <w:rFonts w:ascii="Times New Roman;serif" w:hAnsi="Times New Roman;serif"/>
                  <w:b w:val="false"/>
                  <w:color w:val="000080"/>
                  <w:sz w:val="20"/>
                  <w:u w:val="single"/>
                </w:rPr>
                <w:t>Consolidated Statements of Operations for the Years Ended December 31, 202</w:t>
              </w:r>
            </w:hyperlink>
            <w:hyperlink w:anchor="idad25bcb385e41bf966f247faa2ba0c6_133">
              <w:r>
                <w:rPr>
                  <w:rStyle w:val="InternetLink"/>
                  <w:rFonts w:ascii="Times New Roman;serif" w:hAnsi="Times New Roman;serif"/>
                  <w:b w:val="false"/>
                  <w:color w:val="000080"/>
                  <w:sz w:val="20"/>
                  <w:u w:val="single"/>
                </w:rPr>
                <w:t>5</w:t>
              </w:r>
            </w:hyperlink>
            <w:hyperlink w:anchor="idad25bcb385e41bf966f247faa2ba0c6_133">
              <w:r>
                <w:rPr>
                  <w:rStyle w:val="InternetLink"/>
                  <w:rFonts w:ascii="Times New Roman;serif" w:hAnsi="Times New Roman;serif"/>
                  <w:b w:val="false"/>
                  <w:color w:val="000080"/>
                  <w:sz w:val="20"/>
                  <w:u w:val="single"/>
                </w:rPr>
                <w:t>, 202</w:t>
              </w:r>
            </w:hyperlink>
            <w:hyperlink w:anchor="idad25bcb385e41bf966f247faa2ba0c6_133">
              <w:r>
                <w:rPr>
                  <w:rStyle w:val="InternetLink"/>
                  <w:rFonts w:ascii="Times New Roman;serif" w:hAnsi="Times New Roman;serif"/>
                  <w:b w:val="false"/>
                  <w:color w:val="000080"/>
                  <w:sz w:val="20"/>
                  <w:u w:val="single"/>
                </w:rPr>
                <w:t>4</w:t>
              </w:r>
            </w:hyperlink>
            <w:hyperlink w:anchor="idad25bcb385e41bf966f247faa2ba0c6_133">
              <w:r>
                <w:rPr>
                  <w:rStyle w:val="InternetLink"/>
                  <w:rFonts w:ascii="Times New Roman;serif" w:hAnsi="Times New Roman;serif"/>
                  <w:b w:val="false"/>
                  <w:color w:val="000080"/>
                  <w:sz w:val="20"/>
                  <w:u w:val="single"/>
                </w:rPr>
                <w:t>, and 202</w:t>
              </w:r>
            </w:hyperlink>
            <w:hyperlink w:anchor="idad25bcb385e41bf966f247faa2ba0c6_133">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33">
              <w:r>
                <w:rPr>
                  <w:rStyle w:val="InternetLink"/>
                  <w:rFonts w:ascii="Times New Roman;serif" w:hAnsi="Times New Roman;serif"/>
                  <w:b w:val="false"/>
                  <w:strike w:val="false"/>
                  <w:dstrike w:val="false"/>
                  <w:color w:val="000000"/>
                  <w:sz w:val="20"/>
                  <w:u w:val="none"/>
                  <w:effect w:val="none"/>
                </w:rPr>
                <w:t>F-5</w:t>
              </w:r>
            </w:hyperlink>
          </w:p>
        </w:tc>
      </w:tr>
      <w:tr>
        <w:trPr/>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36">
              <w:r>
                <w:rPr>
                  <w:rStyle w:val="InternetLink"/>
                  <w:rFonts w:ascii="Times New Roman;serif" w:hAnsi="Times New Roman;serif"/>
                  <w:b w:val="false"/>
                  <w:color w:val="0000FF"/>
                  <w:sz w:val="20"/>
                  <w:u w:val="single"/>
                </w:rPr>
                <w:t>Consolidated Statements of Comprehensive Income for the Years Ended December 31, 2025,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36">
              <w:r>
                <w:rPr>
                  <w:rStyle w:val="InternetLink"/>
                  <w:rFonts w:ascii="Times New Roman;serif" w:hAnsi="Times New Roman;serif"/>
                  <w:b w:val="false"/>
                  <w:strike w:val="false"/>
                  <w:dstrike w:val="false"/>
                  <w:color w:val="000000"/>
                  <w:sz w:val="20"/>
                  <w:u w:val="none"/>
                  <w:effect w:val="none"/>
                </w:rPr>
                <w:t>F-6</w:t>
              </w:r>
            </w:hyperlink>
          </w:p>
        </w:tc>
      </w:tr>
      <w:tr>
        <w:trPr/>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39">
              <w:r>
                <w:rPr>
                  <w:rStyle w:val="InternetLink"/>
                  <w:rFonts w:ascii="Times New Roman;serif" w:hAnsi="Times New Roman;serif"/>
                  <w:b w:val="false"/>
                  <w:color w:val="000080"/>
                  <w:sz w:val="20"/>
                  <w:u w:val="single"/>
                </w:rPr>
                <w:t>Consolidated Statements of Shareholders' Equity for the Years Ended December 31, 202</w:t>
              </w:r>
            </w:hyperlink>
            <w:hyperlink w:anchor="idad25bcb385e41bf966f247faa2ba0c6_139">
              <w:r>
                <w:rPr>
                  <w:rStyle w:val="InternetLink"/>
                  <w:rFonts w:ascii="Times New Roman;serif" w:hAnsi="Times New Roman;serif"/>
                  <w:b w:val="false"/>
                  <w:color w:val="000080"/>
                  <w:sz w:val="20"/>
                  <w:u w:val="single"/>
                </w:rPr>
                <w:t>5</w:t>
              </w:r>
            </w:hyperlink>
            <w:hyperlink w:anchor="idad25bcb385e41bf966f247faa2ba0c6_139">
              <w:r>
                <w:rPr>
                  <w:rStyle w:val="InternetLink"/>
                  <w:rFonts w:ascii="Times New Roman;serif" w:hAnsi="Times New Roman;serif"/>
                  <w:b w:val="false"/>
                  <w:color w:val="000080"/>
                  <w:sz w:val="20"/>
                  <w:u w:val="single"/>
                </w:rPr>
                <w:t>, 202</w:t>
              </w:r>
            </w:hyperlink>
            <w:hyperlink w:anchor="idad25bcb385e41bf966f247faa2ba0c6_139">
              <w:r>
                <w:rPr>
                  <w:rStyle w:val="InternetLink"/>
                  <w:rFonts w:ascii="Times New Roman;serif" w:hAnsi="Times New Roman;serif"/>
                  <w:b w:val="false"/>
                  <w:color w:val="000080"/>
                  <w:sz w:val="20"/>
                  <w:u w:val="single"/>
                </w:rPr>
                <w:t>4</w:t>
              </w:r>
            </w:hyperlink>
            <w:hyperlink w:anchor="idad25bcb385e41bf966f247faa2ba0c6_139">
              <w:r>
                <w:rPr>
                  <w:rStyle w:val="InternetLink"/>
                  <w:rFonts w:ascii="Times New Roman;serif" w:hAnsi="Times New Roman;serif"/>
                  <w:b w:val="false"/>
                  <w:color w:val="000080"/>
                  <w:sz w:val="20"/>
                  <w:u w:val="single"/>
                </w:rPr>
                <w:t>, and 202</w:t>
              </w:r>
            </w:hyperlink>
            <w:hyperlink w:anchor="idad25bcb385e41bf966f247faa2ba0c6_139">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39">
              <w:r>
                <w:rPr>
                  <w:rStyle w:val="InternetLink"/>
                  <w:rFonts w:ascii="Times New Roman;serif" w:hAnsi="Times New Roman;serif"/>
                  <w:b w:val="false"/>
                  <w:strike w:val="false"/>
                  <w:dstrike w:val="false"/>
                  <w:color w:val="000000"/>
                  <w:sz w:val="20"/>
                  <w:u w:val="none"/>
                  <w:effect w:val="none"/>
                </w:rPr>
                <w:t>F-7</w:t>
              </w:r>
            </w:hyperlink>
          </w:p>
        </w:tc>
      </w:tr>
      <w:tr>
        <w:trPr/>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42">
              <w:r>
                <w:rPr>
                  <w:rStyle w:val="InternetLink"/>
                  <w:rFonts w:ascii="Times New Roman;serif" w:hAnsi="Times New Roman;serif"/>
                  <w:b w:val="false"/>
                  <w:color w:val="000080"/>
                  <w:sz w:val="20"/>
                  <w:u w:val="single"/>
                </w:rPr>
                <w:t>Consolidated Statements of Cash Flows for the Years Ended December 31, 202</w:t>
              </w:r>
            </w:hyperlink>
            <w:hyperlink w:anchor="idad25bcb385e41bf966f247faa2ba0c6_142">
              <w:r>
                <w:rPr>
                  <w:rStyle w:val="InternetLink"/>
                  <w:rFonts w:ascii="Times New Roman;serif" w:hAnsi="Times New Roman;serif"/>
                  <w:b w:val="false"/>
                  <w:color w:val="000080"/>
                  <w:sz w:val="20"/>
                  <w:u w:val="single"/>
                </w:rPr>
                <w:t>5</w:t>
              </w:r>
            </w:hyperlink>
            <w:hyperlink w:anchor="idad25bcb385e41bf966f247faa2ba0c6_142">
              <w:r>
                <w:rPr>
                  <w:rStyle w:val="InternetLink"/>
                  <w:rFonts w:ascii="Times New Roman;serif" w:hAnsi="Times New Roman;serif"/>
                  <w:b w:val="false"/>
                  <w:color w:val="000080"/>
                  <w:sz w:val="20"/>
                  <w:u w:val="single"/>
                </w:rPr>
                <w:t>, 202</w:t>
              </w:r>
            </w:hyperlink>
            <w:hyperlink w:anchor="idad25bcb385e41bf966f247faa2ba0c6_142">
              <w:r>
                <w:rPr>
                  <w:rStyle w:val="InternetLink"/>
                  <w:rFonts w:ascii="Times New Roman;serif" w:hAnsi="Times New Roman;serif"/>
                  <w:b w:val="false"/>
                  <w:color w:val="000080"/>
                  <w:sz w:val="20"/>
                  <w:u w:val="single"/>
                </w:rPr>
                <w:t>4</w:t>
              </w:r>
            </w:hyperlink>
            <w:hyperlink w:anchor="idad25bcb385e41bf966f247faa2ba0c6_142">
              <w:r>
                <w:rPr>
                  <w:rStyle w:val="InternetLink"/>
                  <w:rFonts w:ascii="Times New Roman;serif" w:hAnsi="Times New Roman;serif"/>
                  <w:b w:val="false"/>
                  <w:color w:val="000080"/>
                  <w:sz w:val="20"/>
                  <w:u w:val="single"/>
                </w:rPr>
                <w:t>, and 202</w:t>
              </w:r>
            </w:hyperlink>
            <w:hyperlink w:anchor="idad25bcb385e41bf966f247faa2ba0c6_142">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42">
              <w:r>
                <w:rPr>
                  <w:rStyle w:val="InternetLink"/>
                  <w:rFonts w:ascii="Times New Roman;serif" w:hAnsi="Times New Roman;serif"/>
                  <w:b w:val="false"/>
                  <w:strike w:val="false"/>
                  <w:dstrike w:val="false"/>
                  <w:color w:val="000000"/>
                  <w:sz w:val="20"/>
                  <w:u w:val="none"/>
                  <w:effect w:val="none"/>
                </w:rPr>
                <w:t>F-8</w:t>
              </w:r>
            </w:hyperlink>
          </w:p>
        </w:tc>
      </w:tr>
      <w:tr>
        <w:trPr/>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d25bcb385e41bf966f247faa2ba0c6_145">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d25bcb385e41bf966f247faa2ba0c6_145">
              <w:r>
                <w:rPr>
                  <w:rStyle w:val="InternetLink"/>
                  <w:rFonts w:ascii="Times New Roman;serif" w:hAnsi="Times New Roman;serif"/>
                  <w:b w:val="false"/>
                  <w:strike w:val="false"/>
                  <w:dstrike w:val="false"/>
                  <w:color w:val="000000"/>
                  <w:sz w:val="20"/>
                  <w:u w:val="none"/>
                  <w:effect w:val="none"/>
                </w:rPr>
                <w:t>F-9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Collegium Pharmaceutical, Inc.</w:t>
      </w:r>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Collegium Pharmaceutical, Inc. and subsidiaries (the "Company") as of December 31, 2025 and 2024, the related consolidated statements of operations, comprehensive income,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280"/>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26, 2026, expressed an unqualified opinion on the Company's internal control over financial reporting.</w:t>
      </w:r>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80"/>
        <w:jc w:val="left"/>
        <w:rPr>
          <w:rFonts w:ascii="Times New Roman;serif" w:hAnsi="Times New Roman;serif"/>
          <w:b/>
          <w:color w:val="000000"/>
          <w:sz w:val="20"/>
        </w:rPr>
      </w:pPr>
      <w:r>
        <w:rPr>
          <w:rFonts w:ascii="Times New Roman;serif" w:hAnsi="Times New Roman;serif"/>
          <w:b/>
          <w:color w:val="000000"/>
          <w:sz w:val="20"/>
        </w:rPr>
        <w:t xml:space="preserve">Critical Audit Matter </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lineRule="auto" w:line="288" w:before="0" w:after="280"/>
        <w:jc w:val="left"/>
        <w:rPr>
          <w:rFonts w:ascii="Times New Roman;serif" w:hAnsi="Times New Roman;serif"/>
          <w:b/>
          <w:i/>
          <w:color w:val="000000"/>
          <w:sz w:val="20"/>
        </w:rPr>
      </w:pPr>
      <w:r>
        <w:rPr>
          <w:rFonts w:ascii="Times New Roman;serif" w:hAnsi="Times New Roman;serif"/>
          <w:b/>
          <w:i/>
          <w:color w:val="000000"/>
          <w:sz w:val="20"/>
        </w:rPr>
        <w:t>Revenue Recognition – Product Return Liability– Refer to Note 3 to the Financial Statements</w:t>
      </w:r>
    </w:p>
    <w:p>
      <w:pPr>
        <w:pStyle w:val="TextBody"/>
        <w:bidi w:val="0"/>
        <w:spacing w:lineRule="auto" w:line="288" w:before="0" w:after="28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is transferred to the customer, which occurs upon delivery, and revenue is measured as the amount of consideration the Company expects to receive in exchange for transferring products to a customer (“transaction price”). The transaction price for product sales includes variable consideration related to sales deductions and a refund liability is established for estimated product returns. At the end of each reporting period, the Company updates the estimated transaction price (including updating its assessment of whether an estimate of variable consideration should be constrained). Variable consideration, including the risk of customer concessions, is included in the transaction price only to the extent that it is probable that a significant reversal in the amount of cumulative revenue recognized will not occur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 xml:space="preserve">the uncertainty is subsequently resolved. The Company updates the measurement of the returns and the refund liability (the “return provision”) at the end of each reporting period for changes in expectations about the amount of returns and refunds with the corresponding adjustments recognized as revenue (or reductions of revenue). </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Estimating the variable consideration and return provision requires significant judgment by management. Given the complexity and significant level of estimation uncertainty involved in calculating the return provision, our audit procedures in this area required a high degree of auditor judgment and an increased extent of effort.</w:t>
      </w:r>
    </w:p>
    <w:p>
      <w:pPr>
        <w:pStyle w:val="TextBody"/>
        <w:bidi w:val="0"/>
        <w:spacing w:lineRule="auto" w:line="288" w:before="0" w:after="28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return provision included the following, among others: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tested the effectiveness of controls over the measurement and recognition of the return provision.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evaluated the Company's methodology and significant assumptions made in developing the return provision.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tested the completeness and accuracy of the data underlying the measurement of the return provision.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tested the mathematical accuracy of management's underlying calculation of the return provision.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performed a retrospective review, comparing prior period product return estimates to actual product returns. </w:t>
      </w:r>
    </w:p>
    <w:p>
      <w:pPr>
        <w:pStyle w:val="TextBody"/>
        <w:bidi w:val="0"/>
        <w:spacing w:lineRule="auto" w:line="288" w:before="0" w:after="280"/>
        <w:ind w:left="0" w:right="0" w:hanging="360"/>
        <w:jc w:val="left"/>
        <w:rPr/>
      </w:pPr>
      <w:r>
        <w:rPr>
          <w:color w:val="000000"/>
        </w:rPr>
        <w:t>•</w:t>
      </w:r>
      <w:r>
        <w:rPr>
          <w:rFonts w:ascii="Times New Roman;serif" w:hAnsi="Times New Roman;serif"/>
          <w:b w:val="false"/>
          <w:color w:val="000000"/>
          <w:sz w:val="20"/>
        </w:rPr>
        <w:t>We developed independent estimates of the return provision using historical sales and returns activity, product dating and expiration dates, and other information.</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0" w:after="2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53"/>
        <w:gridCol w:w="2328"/>
        <w:gridCol w:w="2299"/>
        <w:gridCol w:w="196"/>
        <w:gridCol w:w="871"/>
        <w:gridCol w:w="109"/>
        <w:gridCol w:w="109"/>
        <w:gridCol w:w="109"/>
        <w:gridCol w:w="109"/>
        <w:gridCol w:w="196"/>
        <w:gridCol w:w="871"/>
        <w:gridCol w:w="155"/>
      </w:tblGrid>
      <w:tr>
        <w:trPr/>
        <w:tc>
          <w:tcPr>
            <w:tcW w:w="2853"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691,411 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482,257 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891,402 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98,033 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1,656,834 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1,663,591 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rebates, returns and discounts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notes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consideration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440,028 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509,510 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Term notes payable, net of current portion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550,733 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royalty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1,355,159 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1,434,749 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(refer to Note 13)</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authorized shares - 5,000,000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authorized shares - 100,000,000; 40,736,330 issued and 31,707,608 outstanding shares as of December 31, 2025 and 39,646,749 issued and 31,440,155 outstanding shares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9,028,722 shares as of December 31, 2025 and 8,206,594 shares as of December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(163,999)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shareholders’ equity </w:t>
            </w:r>
          </w:p>
        </w:tc>
        <w:tc>
          <w:tcPr>
            <w:tcW w:w="10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301,675 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228,842 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shareholders’ equity </w:t>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1,656,834 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1,663,591 </w:t>
            </w:r>
          </w:p>
        </w:tc>
        <w:tc>
          <w:tcPr>
            <w:tcW w:w="1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9671" w:type="dxa"/>
        <w:jc w:val="left"/>
        <w:tblInd w:w="0" w:type="dxa"/>
        <w:tblLayout w:type="fixed"/>
        <w:tblCellMar>
          <w:top w:w="28" w:type="dxa"/>
          <w:left w:w="28" w:type="dxa"/>
          <w:bottom w:w="28" w:type="dxa"/>
          <w:right w:w="28" w:type="dxa"/>
        </w:tblCellMar>
      </w:tblPr>
      <w:tblGrid>
        <w:gridCol w:w="2005"/>
        <w:gridCol w:w="1762"/>
        <w:gridCol w:w="1767"/>
        <w:gridCol w:w="211"/>
        <w:gridCol w:w="826"/>
        <w:gridCol w:w="109"/>
        <w:gridCol w:w="109"/>
        <w:gridCol w:w="109"/>
        <w:gridCol w:w="109"/>
        <w:gridCol w:w="211"/>
        <w:gridCol w:w="826"/>
        <w:gridCol w:w="109"/>
        <w:gridCol w:w="109"/>
        <w:gridCol w:w="109"/>
        <w:gridCol w:w="109"/>
        <w:gridCol w:w="211"/>
        <w:gridCol w:w="82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566,767 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317,310 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240,598 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463,257 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377,344 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326,169 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169,895 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92,619 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31,706,429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32,273,850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33,741,213</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41,788,125</w:t>
            </w:r>
          </w:p>
        </w:tc>
      </w:tr>
    </w:tbl>
    <w:p>
      <w:pPr>
        <w:pStyle w:val="TextBody"/>
        <w:bidi w:val="0"/>
        <w:spacing w:lineRule="auto" w:line="276" w:before="0" w:after="8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8172" w:type="dxa"/>
        <w:jc w:val="left"/>
        <w:tblInd w:w="0" w:type="dxa"/>
        <w:tblLayout w:type="fixed"/>
        <w:tblCellMar>
          <w:top w:w="28" w:type="dxa"/>
          <w:left w:w="28" w:type="dxa"/>
          <w:bottom w:w="28" w:type="dxa"/>
          <w:right w:w="28" w:type="dxa"/>
        </w:tblCellMar>
      </w:tblPr>
      <w:tblGrid>
        <w:gridCol w:w="1574"/>
        <w:gridCol w:w="1382"/>
        <w:gridCol w:w="1394"/>
        <w:gridCol w:w="211"/>
        <w:gridCol w:w="721"/>
        <w:gridCol w:w="109"/>
        <w:gridCol w:w="109"/>
        <w:gridCol w:w="109"/>
        <w:gridCol w:w="109"/>
        <w:gridCol w:w="211"/>
        <w:gridCol w:w="721"/>
        <w:gridCol w:w="109"/>
        <w:gridCol w:w="109"/>
        <w:gridCol w:w="109"/>
        <w:gridCol w:w="109"/>
        <w:gridCol w:w="211"/>
        <w:gridCol w:w="72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1478" w:type="dxa"/>
        <w:jc w:val="left"/>
        <w:tblInd w:w="0" w:type="dxa"/>
        <w:tblLayout w:type="fixed"/>
        <w:tblCellMar>
          <w:top w:w="28" w:type="dxa"/>
          <w:left w:w="28" w:type="dxa"/>
          <w:bottom w:w="28" w:type="dxa"/>
          <w:right w:w="28" w:type="dxa"/>
        </w:tblCellMar>
      </w:tblPr>
      <w:tblGrid>
        <w:gridCol w:w="644"/>
        <w:gridCol w:w="263"/>
        <w:gridCol w:w="264"/>
        <w:gridCol w:w="304"/>
        <w:gridCol w:w="304"/>
        <w:gridCol w:w="308"/>
        <w:gridCol w:w="109"/>
        <w:gridCol w:w="109"/>
        <w:gridCol w:w="109"/>
        <w:gridCol w:w="212"/>
        <w:gridCol w:w="359"/>
        <w:gridCol w:w="120"/>
        <w:gridCol w:w="109"/>
        <w:gridCol w:w="109"/>
        <w:gridCol w:w="109"/>
        <w:gridCol w:w="196"/>
        <w:gridCol w:w="736"/>
        <w:gridCol w:w="109"/>
        <w:gridCol w:w="109"/>
        <w:gridCol w:w="109"/>
        <w:gridCol w:w="109"/>
        <w:gridCol w:w="294"/>
        <w:gridCol w:w="294"/>
        <w:gridCol w:w="298"/>
        <w:gridCol w:w="109"/>
        <w:gridCol w:w="109"/>
        <w:gridCol w:w="109"/>
        <w:gridCol w:w="196"/>
        <w:gridCol w:w="751"/>
        <w:gridCol w:w="109"/>
        <w:gridCol w:w="109"/>
        <w:gridCol w:w="109"/>
        <w:gridCol w:w="109"/>
        <w:gridCol w:w="196"/>
        <w:gridCol w:w="751"/>
        <w:gridCol w:w="109"/>
        <w:gridCol w:w="109"/>
        <w:gridCol w:w="109"/>
        <w:gridCol w:w="109"/>
        <w:gridCol w:w="328"/>
        <w:gridCol w:w="705"/>
        <w:gridCol w:w="183"/>
        <w:gridCol w:w="109"/>
        <w:gridCol w:w="109"/>
        <w:gridCol w:w="109"/>
        <w:gridCol w:w="208"/>
        <w:gridCol w:w="783"/>
        <w:gridCol w:w="165"/>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2022</w:t>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37,084,759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538,073 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(281,344)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194,842 </w:t>
            </w:r>
          </w:p>
        </w:tc>
        <w:tc>
          <w:tcPr>
            <w:tcW w:w="16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9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for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RSUs and PSUs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upon vesting of RSUs and PSUs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(75,457)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9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38,192,441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565,949 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(6,323,892)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(137,381)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(233,189)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8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195,431 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10,246 </w:t>
            </w:r>
          </w:p>
        </w:tc>
        <w:tc>
          <w:tcPr>
            <w:tcW w:w="16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for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RSUs and PSUs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upon vesting of RSUs and PSUs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39,646,749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590,251 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(197,505)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(163,999)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228,842 </w:t>
            </w:r>
          </w:p>
        </w:tc>
        <w:tc>
          <w:tcPr>
            <w:tcW w:w="16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options</w:t>
            </w:r>
          </w:p>
        </w:tc>
        <w:tc>
          <w:tcPr>
            <w:tcW w:w="9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for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RSUs and PSUs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 upon vesting of RSUs and PSUs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916"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40,736,330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624,954 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(222,510)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(101,129)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8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301,675 </w:t>
            </w:r>
          </w:p>
        </w:tc>
        <w:tc>
          <w:tcPr>
            <w:tcW w:w="16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56"/>
        <w:gridCol w:w="2050"/>
        <w:gridCol w:w="2066"/>
        <w:gridCol w:w="196"/>
        <w:gridCol w:w="736"/>
        <w:gridCol w:w="109"/>
        <w:gridCol w:w="109"/>
        <w:gridCol w:w="109"/>
        <w:gridCol w:w="109"/>
        <w:gridCol w:w="196"/>
        <w:gridCol w:w="646"/>
        <w:gridCol w:w="109"/>
        <w:gridCol w:w="109"/>
        <w:gridCol w:w="109"/>
        <w:gridCol w:w="109"/>
        <w:gridCol w:w="196"/>
        <w:gridCol w:w="736"/>
        <w:gridCol w:w="155"/>
      </w:tblGrid>
      <w:tr>
        <w:trPr/>
        <w:tc>
          <w:tcPr>
            <w:tcW w:w="235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Non-cash interest expense for amortization of debt discount and issuance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for deferred royalty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amortization of premiums and discounts on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rebates, returns and 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 and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329,323 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274,749 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Ironshore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and sales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(287,759)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(70,812)</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issuances of common stock from employee stock purchase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for employee stock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term loans, including debt extinguishment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2025 Credit Facility, net of debt discounts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for deferred purchase price for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term note modification, net of fees paid to lender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issuances of 2029 Convertible Notes,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2026 Convertible Notes, including premium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2026 Convertible Notes, including premium and redemption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assumed debt from Ironshore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(110,245)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(60,603)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(140,178)</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year</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252,158 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239,994 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to the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252,158 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96,612 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239,994 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property and equipment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Note issuance costs in accounts payable and accrued expenses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 in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date fair value of contingent consideration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combination consideration payable</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COLLEGIUM PHARMACEUTICAL,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Collegium Pharmaceutical, Inc. (the “Company” or “Collegium”) was incorporated in Delaware in April 2002 and then reincorporated in Virginia in July 2014. The Company has its principal operations in Stoughton, Massachusetts. The Company’s mission is to build a leading, diversified biopharmaceutical company committed to improving the lives of people living with serious medical conditions. The Company’s product portfolio includes Jornay PM, Belbuca, Xtampza ER, Nucynta ER and Nucynta IR (collectively the “Nucynta Products”), and Symproic.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3, 2024, (the “Acquisition Date”), the Company closed its acquisition of Ironshore Therapeutics Inc. (“Ironshore”) (the “Ironshore Acquisition” or “Merger”) pursuant to an Agreement and Plan of Merger (the “Merger Agreement”), with Ironshore surviving the Merger as a wholly owned subsidiary of the Company. Ironshore had developed and obtained commercial approval to market Jornay PM in the United States. Upon closing the Ironshore Acquisition, the Company acquired the Jornay PM product.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subject to certain risks and uncertainties. The principal risks include inability to continue successfully commercializing products, changing market conditions for products and development of competing products, changing regulatory environment and reimbursement landscape, product-related litigation, manufacture of adequate commercial inventory, inability to secure adequate supplies of active pharmaceutical ingredients, key personnel retention, protection of intellectual property, and patent infringement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Basis of Accounting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Collegium Pharmaceutical, Inc. as well as the accounts of its subsidiaries. The consolidated financial statements are prepared in conformity with generally accepted accounting principles in the United States of America (“GAAP”). All intercompany balances and transactions have been eliminated in consolidation.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accordance with GAAP requires the Company to make estimates and assumptions that impact the reported amounts of assets, liabilities, revenues, costs and expenses and the disclosure of contingent assets and liabilities in the Company’s consolidated financial statements and accompanying notes. Estimates in the Company’s consolidated financial statements include revenue recognition, including the estimates of product returns, discounts and allowances related to commercial sales of products, estimates related to the fair value of assets acquired and liabilities assumed in business combinations, including acquired intangible assets and the fair value of inventory acquired, estimates utilized in the ongoing valuation of inventory related to potential unsalable product, estimates of useful lives with respect to intangible assets, accounting for stock-based compensation, contingencies, impairment of goodwill and intangible assets, future payments under the deferred royalty obligation, and deferred tax valuation allowances.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Fair value measurements and disclosures describe the fair value hierarchy based on three levels of inputs, of which the first two are considered observable and the last unobservable, that may be used to measure fair value, as follows:</w:t>
      </w:r>
    </w:p>
    <w:tbl>
      <w:tblPr>
        <w:tblW w:w="10205" w:type="dxa"/>
        <w:jc w:val="left"/>
        <w:tblInd w:w="0" w:type="dxa"/>
        <w:tblLayout w:type="fixed"/>
        <w:tblCellMar>
          <w:top w:w="28" w:type="dxa"/>
          <w:left w:w="28" w:type="dxa"/>
          <w:bottom w:w="28" w:type="dxa"/>
          <w:right w:w="28" w:type="dxa"/>
        </w:tblCellMar>
      </w:tblPr>
      <w:tblGrid>
        <w:gridCol w:w="318"/>
        <w:gridCol w:w="280"/>
        <w:gridCol w:w="282"/>
        <w:gridCol w:w="2779"/>
        <w:gridCol w:w="2710"/>
        <w:gridCol w:w="3836"/>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Level 1 inputs:</w:t>
            </w:r>
          </w:p>
        </w:tc>
        <w:tc>
          <w:tcPr>
            <w:tcW w:w="9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(unadjusted) in active markets for identical assets or liabilities. An active market is defined as a market where transactions for the asset or liability occur with sufficient frequency and volume to provide pricing information on an ongoing basis.</w:t>
            </w:r>
          </w:p>
        </w:tc>
      </w:tr>
      <w:tr>
        <w:trPr/>
        <w:tc>
          <w:tcPr>
            <w:tcW w:w="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Level 2 inputs:</w:t>
            </w:r>
          </w:p>
        </w:tc>
        <w:tc>
          <w:tcPr>
            <w:tcW w:w="9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Inputs other than quoted prices included within Level 1 that are observable for the asset or liability, either directly or indirectly. Examples of Level 2 inputs include quoted prices in active markets for similar assets or liabilities and quoted prices for identical assets or liabilities in markets that are not active.</w:t>
            </w:r>
          </w:p>
        </w:tc>
      </w:tr>
      <w:tr>
        <w:trPr/>
        <w:tc>
          <w:tcPr>
            <w:tcW w:w="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Level 3 inputs:</w:t>
            </w:r>
          </w:p>
        </w:tc>
        <w:tc>
          <w:tcPr>
            <w:tcW w:w="9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that reflect the Company’s own assumptions about the assumptions market participants would use in pricing the asset or liability.</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approach to fair value measurement is aligned with its investment policy focused on capital preservation. The Company invests in instruments within defined credit parameters to minimize credit risk while ensuring liquidity.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Levels 1, 2 and 3 during the years ended December 31, 2025 and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instruments carried at fair value using the lowest level input applicable to each financial instrument as of December 31, 2025 and 2024.</w:t>
      </w:r>
    </w:p>
    <w:tbl>
      <w:tblPr>
        <w:tblW w:w="9047" w:type="dxa"/>
        <w:jc w:val="left"/>
        <w:tblInd w:w="0" w:type="dxa"/>
        <w:tblLayout w:type="fixed"/>
        <w:tblCellMar>
          <w:top w:w="28" w:type="dxa"/>
          <w:left w:w="28" w:type="dxa"/>
          <w:bottom w:w="28" w:type="dxa"/>
          <w:right w:w="28" w:type="dxa"/>
        </w:tblCellMar>
      </w:tblPr>
      <w:tblGrid>
        <w:gridCol w:w="1157"/>
        <w:gridCol w:w="1017"/>
        <w:gridCol w:w="1020"/>
        <w:gridCol w:w="211"/>
        <w:gridCol w:w="826"/>
        <w:gridCol w:w="109"/>
        <w:gridCol w:w="109"/>
        <w:gridCol w:w="109"/>
        <w:gridCol w:w="109"/>
        <w:gridCol w:w="237"/>
        <w:gridCol w:w="930"/>
        <w:gridCol w:w="122"/>
        <w:gridCol w:w="109"/>
        <w:gridCol w:w="109"/>
        <w:gridCol w:w="109"/>
        <w:gridCol w:w="211"/>
        <w:gridCol w:w="826"/>
        <w:gridCol w:w="109"/>
        <w:gridCol w:w="109"/>
        <w:gridCol w:w="109"/>
        <w:gridCol w:w="109"/>
        <w:gridCol w:w="277"/>
        <w:gridCol w:w="810"/>
        <w:gridCol w:w="20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Government-sponsored securities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274,790 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119,363 </w:t>
            </w:r>
          </w:p>
        </w:tc>
        <w:tc>
          <w:tcPr>
            <w:tcW w:w="12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36,153 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contingent consideration liability is related to the Ironshore Acquisition in 2024. The Ironshore Acquisition included a contingent payment of $25,000 related to the achievement of a financial milestone based on net revenues of Jornay PM for the year ended December 31, 2025. The financial milestone was not met and no liability was recorded as of December 31,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liability is measured at fair value using an option pricing model. The Company classifies its contingent consideration liability as a Level 3 fair value measurement based on the significant unobservable inputs used to estimate fair value. The key assumptions considered in estimating the fair value include the estimated probability and timing of milestone achievement, such as the probability and timing of projected revenues.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 a reconciliation of the beginning and ending balances related to the contingent consideration for the Ironshore Acquisition:</w:t>
      </w:r>
    </w:p>
    <w:tbl>
      <w:tblPr>
        <w:tblW w:w="7453" w:type="dxa"/>
        <w:jc w:val="left"/>
        <w:tblInd w:w="0" w:type="dxa"/>
        <w:tblLayout w:type="fixed"/>
        <w:tblCellMar>
          <w:top w:w="28" w:type="dxa"/>
          <w:left w:w="28" w:type="dxa"/>
          <w:bottom w:w="28" w:type="dxa"/>
          <w:right w:w="28" w:type="dxa"/>
        </w:tblCellMar>
      </w:tblPr>
      <w:tblGrid>
        <w:gridCol w:w="1858"/>
        <w:gridCol w:w="1630"/>
        <w:gridCol w:w="1641"/>
        <w:gridCol w:w="499"/>
        <w:gridCol w:w="1459"/>
        <w:gridCol w:w="366"/>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Ironshore Acquisition</w:t>
              <w:br/>
              <w:t>Contingent Consideration</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49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date fair value</w:t>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4,096 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Assets and Liabilities Not Carried at Fair Value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convertible senior notes fall into the Level 2 category within the fair value level hierarchy. The fair value was determined based on data points using quoted prices that are observable, either directly or indirectly, such as broker quotes in a non-active market.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the Company’s convertible senior notes was $340,968 and the net carrying value was $238,213. As of December 31, 2024, the fair value of the Company’s convertible senior notes was approximately $266,184 and the net carrying value was $237,172.</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Term Notes Payable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term notes fall into the Level 2 category within the fair value level hierarchy and the fair value was determined using quoted prices for similar liabilities in active markets, as well as inputs that are observable for the liability (other than quoted prices), such as interest rates that are observable at commonly quoted intervals. As of December 31, 2025 and 2024, the carrying amount of the term notes reasonably approximated the estimated fair value.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Deferred Royalty Obligation </w:t>
      </w:r>
    </w:p>
    <w:p>
      <w:pPr>
        <w:pStyle w:val="TextBody"/>
        <w:bidi w:val="0"/>
        <w:spacing w:lineRule="auto" w:line="288" w:before="0" w:after="0"/>
        <w:jc w:val="left"/>
        <w:rPr/>
      </w:pPr>
      <w:r>
        <w:rPr>
          <w:rFonts w:ascii="Times New Roman;serif" w:hAnsi="Times New Roman;serif"/>
          <w:b w:val="false"/>
          <w:color w:val="000000"/>
          <w:sz w:val="20"/>
        </w:rPr>
        <w:t xml:space="preserve">The Company’s deferred royalty obligation was assumed as part of the Ironshore Acquisition in 2024. Refer to Note 15, </w:t>
      </w:r>
      <w:r>
        <w:rPr>
          <w:rFonts w:ascii="Times New Roman;serif" w:hAnsi="Times New Roman;serif"/>
          <w:b w:val="false"/>
          <w:i/>
          <w:color w:val="000000"/>
          <w:sz w:val="20"/>
        </w:rPr>
        <w:t>Deferred Royalty Obligation</w:t>
      </w:r>
      <w:r>
        <w:rPr>
          <w:rFonts w:ascii="Times New Roman;serif" w:hAnsi="Times New Roman;serif"/>
          <w:b w:val="false"/>
          <w:color w:val="000000"/>
          <w:sz w:val="20"/>
        </w:rPr>
        <w:t>, for more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fair value of the deferred royalty obligation was approximately $137,634 and the net carrying value was $121,563. As of December 31, 2024, the carrying amount of the deferred royalty obligation reasonably approximated the estimated fair value. The deferred royalty obligation is considered a level 3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4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Assets and Liabilities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carrying amounts of the cash and cash equivalents, accounts receivable, prepaid expenses and other assets, accounts payable, accrued liabilities, and accrued rebates, returns and discounts, approximated the estimated fair values.</w:t>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which potentially subject the Company to significant concentration of credit risk, consist primarily of cash and cash equivalents, marketable securities, and accounts receivable. The Company maintains its cash deposits with a limited number of reputable and nationally recognized financial institutions. In addition, as of December 31, 2025, the Company’s cash equivalents were invested in money market funds. The Company has not experienced any material losses in such accounts and management believes that the Company is not exposed to significant credit risk due to the financial position of the financial institutions in which those deposits are held.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Three customers comprised 10% or more of the Company’s accounts receivable balance as of December 31, 2025 and 2024. These customers comprised 35%, 32%, and 29% of the accounts receivable balance as of December 31, 2025 and 37%, 33%, and 28% as of December 31,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These same three customers comprised 34%, 34%, and 29% of revenue during the year ended December 31, 2025; 33%, 33%, and 31% during the year ended December 31, 2024; and 33%, 32%, and 32% during the year ended December 31, 2023.</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date, the Company has not experienced any material credit losses with respect to the collection of its accounts receivable and has not recorded a material allowance for credit losses as of December 31, 2025 or 2024. The Company has no financial instruments with off balance sheet risk of loss.</w:t>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cash in readily available checking and savings accounts, including bank deposits, investments in money market funds, and commercial paper. The Company considers all highly liquid investments with an original maturity of three months or less from the date of purchase to be cash equivalents.</w:t>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is reported as non-current unless the restrictions are expected to be released in the next twelve months. Restricted cash as of December 31, 2025 and 2024 includes $19,850 and $25,000, respectively, of deposits into escrow at the closing of the Ironshore Acquisition, to be released (i) in part, after, and subject to, determination of any adjustments related to finalization of working capital and cash at closing; and (ii) in part, and subject to, the lapse of certain indemnification obligations 12 months from the Acquisition Date. The remaining amounts in restricted cash represent cash held in a depository account at a financial institution to collateralize conditional standby letters of credit for the Company’s lease of its corporate headquarters and its leases of vehicles for its field-based employees. </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Marketable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Company’s marketable securities consisted of investments in available-for-sale corporate debt, commercial paper, U.S. Treasury, and government-sponsored securities with readily determinable fair values. The Company classifies available-for-sale marketable securities as current assets on its consolidated balance sheets. </w:t>
      </w:r>
    </w:p>
    <w:p>
      <w:pPr>
        <w:pStyle w:val="TextBody"/>
        <w:bidi w:val="0"/>
        <w:spacing w:lineRule="auto" w:line="288" w:before="0" w:after="200"/>
        <w:jc w:val="left"/>
        <w:rPr/>
      </w:pPr>
      <w:r>
        <w:rPr>
          <w:rFonts w:ascii="Times New Roman;serif" w:hAnsi="Times New Roman;serif"/>
          <w:b w:val="false"/>
          <w:color w:val="000000"/>
          <w:sz w:val="20"/>
        </w:rPr>
        <w:t>The Company records interest earned and net amortization of premiums and discounts on investments within interest income on its consolidated statements of operations. The Company records unrealized gains (losses) on available-for-sale debt securities as a component of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which is a separate component of shareholders’ equity on its consolidated balance sheets, until such gains and losses are realized. Realized gains and losses are determined using the specific identification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available-for-sale debt securities with unrealized losses, the Company assesses whether a credit loss allowance is required using an expected loss model. This process involves evaluating whether the fair value of an investment is recoverable when compared to its amortized cost. If an increase in fair value is observed, the Company may reduce any previously recognized credit losses. In determining whether impairments are other-than-temporary, the Company considers its ability and intention to hold the investment until market price recovery, as well as issuer-specific credit ratings, historical losses, and current economic conditions. The Company generally intends to retain investments until their amortized cost is recovered and did not identify any investments with other-than-temporary impairment as of December 31, 2025 and 2024.</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Inventory costs consist of costs related to the manufacturing of the Company’s products, which are primarily the costs of contract manufacturing and active pharmaceutical ingredients. The Company determines the cost of its inventories on a specific identification basis and removes amounts from inventories on a first-in, first-out basis. If the Company identifies excess, obsolete or unsalable items, inventories are written down to their realizable value in the period in which the impairment is identified. These adjustments are recorded based upon various factors, including the level of product manufactured by the Company, the level of product in the distribution channel, current and projected demand and the expected shelf-life of the inventory components.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outsources the manufacturing of its products to contract manufacturers. In addition, the Company currently relies on a sole supplier or a limited number of suppliers for the active pharmaceutical ingredients in its products. Accordingly, the Company has concentration risk associated with its commercial manufacturing.</w:t>
      </w:r>
    </w:p>
    <w:p>
      <w:pPr>
        <w:pStyle w:val="TextBody"/>
        <w:bidi w:val="0"/>
        <w:spacing w:lineRule="auto" w:line="288" w:before="0" w:after="200"/>
        <w:jc w:val="left"/>
        <w:rPr/>
      </w:pPr>
      <w:r>
        <w:rPr>
          <w:rFonts w:ascii="Times New Roman;serif" w:hAnsi="Times New Roman;serif"/>
          <w:b w:val="false"/>
          <w:color w:val="000000"/>
          <w:sz w:val="20"/>
        </w:rPr>
        <w:t xml:space="preserve">The Company expects to use the inventory that is classified within current assets on its consolidated balance sheet over its operating cycle. Inventory that is not expected to be used over the Company’s operating cycle is classified as a non-current asset. Refer to Note 8, </w:t>
      </w:r>
      <w:r>
        <w:rPr>
          <w:rFonts w:ascii="Times New Roman;serif" w:hAnsi="Times New Roman;serif"/>
          <w:b w:val="false"/>
          <w:i/>
          <w:color w:val="000000"/>
          <w:sz w:val="20"/>
        </w:rPr>
        <w:t>Inventory</w:t>
      </w:r>
      <w:r>
        <w:rPr>
          <w:rFonts w:ascii="Times New Roman;serif" w:hAnsi="Times New Roman;serif"/>
          <w:b w:val="false"/>
          <w:color w:val="000000"/>
          <w:sz w:val="20"/>
        </w:rPr>
        <w:t>, for further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Business Combination Accounting and Valuation of Acquired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determine whether acquisitions should be accounted for as a business combination or as an asset acquisition, the Company makes certain judgments regarding whether the acquired set of activities and assets meets the definition of a business. Judgment is required in assessing whether the acquired processes or activities, along with their inputs, would be substantive to constitute a business, as defined by U.S. GAAP.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acquisition method of accounting requires the recognition of assets acquired and liabilities assumed at their acquisition date fair values. The determination of the fair value may require the estimation of fair values based on non-observable inputs that are included in valuation models. An income approach, which generally relies upon projected cash flow models, is used in estimating the fair value of the acquired intangible assets and the deferred royalty obligation. The fair value of acquired inventory is based on inventory cost and other assumptions. The cash flow projections are based on management's estimates of economic and market conditions including the estimated future cash flows from revenues of acquired assets, the timing and projection of costs and expenses and the related profit margins, tax rates, and an appropriate discount rate.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estimated fair value of the net assets acquired in a business combination. Goodwill is not amortized but is subject to impairment testing at least annually as of October 1 or when a triggering event occurs that could indicate a potential impairment. In performing the goodwill impairment test, the Company may first assess qualitative factors to determine whether it is more likely than not that the fair value of a reporting unit is less than the carrying value. Alternatively, the Company may elect to proceed directly to the quantitative impairment test. In performing the quantitative analysis, the Company compares the fair value of the reporting unit with its carrying amount, including goodwill. If the carrying amount of the Company’s reporting unit exceeds its fair value, the Company would recognize an impairment charge for the amount by which the carrying amount of the reporting unit exceeds its fair value, up to the amount of goodwill allocated to that reporting unit.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the fair value of finite-lived intangible assets as of the transaction date. Intangible assets are then amortized over their estimated useful lives using either the straight-line method, or if reliably determinable, based on the pattern in which the economic benefit of the asset is expected to be utilized. The Company tests intangible assets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potential impairment whenever triggering events or circumstances present an indication of impairment. If the sum of expected undiscounted future cash flows of the intangible assets is less than the carrying amount of such assets, the intangible assets would be written down to the estimated fair value, calculated based on the present value of expected future cash flows.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including leasehold improvements, are recorded at cost. Maintenance and repair costs are expensed as incurred. Costs which materially improve or extend the lives of existing assets are capitalized. Property and equipment are depreciated when placed into service using the straight-line method based on their estimated useful lives as follows:</w:t>
      </w:r>
    </w:p>
    <w:tbl>
      <w:tblPr>
        <w:tblW w:w="7721" w:type="dxa"/>
        <w:jc w:val="left"/>
        <w:tblInd w:w="0" w:type="dxa"/>
        <w:tblLayout w:type="fixed"/>
        <w:tblCellMar>
          <w:top w:w="28" w:type="dxa"/>
          <w:left w:w="28" w:type="dxa"/>
          <w:bottom w:w="28" w:type="dxa"/>
          <w:right w:w="28" w:type="dxa"/>
        </w:tblCellMar>
      </w:tblPr>
      <w:tblGrid>
        <w:gridCol w:w="1005"/>
        <w:gridCol w:w="882"/>
        <w:gridCol w:w="888"/>
        <w:gridCol w:w="109"/>
        <w:gridCol w:w="109"/>
        <w:gridCol w:w="109"/>
        <w:gridCol w:w="1350"/>
        <w:gridCol w:w="1350"/>
        <w:gridCol w:w="1919"/>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7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5-13 years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remaining lease term and estimated useful life</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Costs for capital assets not yet placed into service have been capitalized as construction-in-progress and will be depreciated in accordance with the above guidelines once placed into service.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retirement or sale, the cost of assets disposed and the related accumulated depreciation are removed from the accounts and any resulting gain or loss is recorded in the statements of operations.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lease assets and liabilities for lease arrangements exceeding a 12-month initial term. For operating leases, the Company records an initial lease liability equal to the present value of minimum lease payments to be made over the lease term discounted using the Company’s incremental borrowing rate and a corresponding lease right-to-use asset is recognized adjusted for incentives received and indirect costs. The Company records operating lease rent expense on a straight-line basis over the lease term in the statements of operations. Variable lease costs are not included in the measurement of the operating lease liability and are recognized in the period in which they are incurred. Leases with an initial term of 12 months or less, or short-term leases, are not recorded on the Company’s consolidated balance sheets. The Company does not have any financing lease arrangements.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Long-lived assets consist primarily of property and equipment, operating lease assets, and definite-lived intangible assets.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(or asset group) would be compared to the carrying value of the asset to determine whether the asset's value is recoverable. If impairment is determined, the Company records an impairment loss equal to the excess of the carrying value of the long-lived asset over its estimated fair value in the period at which such a determination is made.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jc w:val="left"/>
        <w:rPr/>
      </w:pPr>
      <w:r>
        <w:rPr>
          <w:rFonts w:ascii="Times New Roman;serif" w:hAnsi="Times New Roman;serif"/>
          <w:b w:val="false"/>
          <w:color w:val="000000"/>
          <w:sz w:val="20"/>
        </w:rPr>
        <w:t xml:space="preserve">The Company’s revenue is from sales of the Company’s products, which are primarily sold to wholesale pharmaceutical distributors, which in turn sell the product to pharmacies for the treatment of patients. The Company recognizes revenue when a customer obtains control of promised goods or services, in an amount that reflects the consideration which the entity expects to receive in exchange for those goods or services. Refer to Note 3,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Deferred Royalty Obligation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deferred royalty obligation liability is a debt obligation of Ironshore that was assumed as part of the Ironshore Acquisition. The deferred royalty obligation relates to royalty payments on revenue of Jornay PM that are paid to former Ironshore debtholders in exchange for preacquisition funding provided to Ironshore.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accretes the deferred royalty obligation to the estimated future royalty payments over the life of the agreement and records the accretion as interest expense using the effective interest rate. The carrying value of the obligation decreases for royalty payments made based upon the actual Jornay PM revenue and related royalty payments. </w:t>
      </w:r>
    </w:p>
    <w:p>
      <w:pPr>
        <w:pStyle w:val="TextBody"/>
        <w:bidi w:val="0"/>
        <w:spacing w:lineRule="auto" w:line="288" w:before="0" w:after="200"/>
        <w:jc w:val="left"/>
        <w:rPr/>
      </w:pPr>
      <w:r>
        <w:rPr>
          <w:rFonts w:ascii="Times New Roman;serif" w:hAnsi="Times New Roman;serif"/>
          <w:b w:val="false"/>
          <w:color w:val="000000"/>
          <w:sz w:val="20"/>
        </w:rPr>
        <w:t xml:space="preserve">The effective interest rate is calculated based on current estimates of future royalty payments over the life of the agreement. To the extent estimates of future royalty payments are greater or less than previous estimates or the estimated timing of such payments is different than previous estimates, the Company accounts for any such changes by adjusting the effective interest rate on a prospective basis, which will adjust future interest expense. Refer to Note 15, </w:t>
      </w:r>
      <w:r>
        <w:rPr>
          <w:rFonts w:ascii="Times New Roman;serif" w:hAnsi="Times New Roman;serif"/>
          <w:b w:val="false"/>
          <w:i/>
          <w:color w:val="000000"/>
          <w:sz w:val="20"/>
        </w:rPr>
        <w:t>Deferred Royalty Obligation</w:t>
      </w:r>
      <w:r>
        <w:rPr>
          <w:rFonts w:ascii="Times New Roman;serif" w:hAnsi="Times New Roman;serif"/>
          <w:b w:val="false"/>
          <w:color w:val="000000"/>
          <w:sz w:val="20"/>
        </w:rPr>
        <w:t>, for more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Research and Development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have historically consisted of product development expenses incurred in identifying, developing, and testing product candidates. Product development expenses primarily consisted of labor, benefits, and related employee expenses for personnel directly involved in product development activities, fees paid to contract research organizations for managing clinical and non-clinical trials, and regulatory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Since April 1, 2022, the Company has focused entirely on commercial products rather than research and development and redirected resources from research and development activities. As such, there were no expenses incurred in research and development after the three months ended March 31, 2022.</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Advertising and Product Promotion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Advertising and product promotion costs are included in selling, general and administrative expenses and were $27,779, $10,663, and $7,406 in the years ended December 31, 2025, 2024, and 2023, respectively. Advertising and product promotion costs are expensed as incurred.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accounts for grants of stock options, restricted stock units and performance share units to employees, as well as to the Board of Directors, based on the grant date fair value and recognizes compensation expense over the vesting period, net of actual forfeitures. For awards with service conditions, the Company recognizes compensation expense on a straight-line basis. The Company estimates the grant date fair value of stock options using the Black-Scholes option pricing model. The Company estimates the grant date fair value of restricted stock units based on the fair value of the underlying common stock. For awards with performance conditions, the Company estimates the number of shares that will vest based upon the probability of achieving performance metrics. For awards with market conditions, the Company recognizes compensation expense on an accelerated attribution basis. The Company estimates the grant date fair value of awards with market conditions using the Monte Carlo model.</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financial statements and tax basis of assets and liabilities using enacted tax rates in effect for the years in which the differences are expected to reverse. The effect of a change in tax rates on deferred tax assets and liabilities is recognized in income in the period that includes the enactment date.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net deferred tax assets to the extent that the Company believes these assets are more-likely-than-not to be realized. In making such a determination, management considers all available positive and negative evidence, including future reversals of existing taxable temporary differences, projected future taxable income, tax-planning strategies and the absence of carryback available from results of recent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uncertain tax positions on the basis of a two-step process whereby: (i) management determines whether it is more-likely-than-not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will recognize interest and penalties related to uncertain tax positions within income tax expense. Any accrued interest and penalties will be included within the related tax liability.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calculated by dividing the net income or loss by the weighted-average number of shares of common stock outstanding during the period, without consideration for potentially dilutive securities. Diluted earnings per share is computed by dividing the net income or loss by the weighted-average number of shares of common stock, plus potentially dilutive securities outstanding for the period, as determined in accordance with the treasury stock, if-converted, or contingently issuable accounting methods, depending on the nature of the security. For purposes of the diluted earnings per share calculation, stock options, restricted stock units, performance share units, shares potentially issuable in connection with the employee stock purchase plan and convertible senior notes are considered potentially dilutive securities and included to the extent that their addition is not antidilutive. </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Embedded Derivatives</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Embedded derivatives are required to be bifurcated from the host instruments and recorded at fair value if the derivatives are not clearly and closely related to the host instruments on the date of issuance. The Company’s term notes and convertible notes (refer to Note 14,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contain certain features that are not clearly and closely related to the host instrument and represent derivatives that are required to be re-measured at fair value each reporting period. The Company determined that the estimated fair value of the derivatives at issuance and through December 31, 2025 were not material. Should the Company’s assessment of the probabilities around these scenarios change, including due to changes in market conditions, there could be a change to the fair value.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New accounting pronouncements are issued periodically by the Financial Accounting Standards Board (“FASB”) and are adopted by the Company as required by the specified effective dates. </w:t>
      </w:r>
    </w:p>
    <w:p>
      <w:pPr>
        <w:pStyle w:val="TextBody"/>
        <w:bidi w:val="0"/>
        <w:spacing w:lineRule="auto" w:line="288" w:before="0" w:after="20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w:t>
      </w:r>
      <w:r>
        <w:rPr>
          <w:color w:val="000000"/>
        </w:rPr>
        <w:t xml:space="preserve"> </w:t>
      </w:r>
      <w:r>
        <w:rPr>
          <w:rFonts w:ascii="Times New Roman;serif" w:hAnsi="Times New Roman;serif"/>
          <w:b w:val="false"/>
          <w:color w:val="000000"/>
          <w:sz w:val="20"/>
        </w:rPr>
        <w:t xml:space="preserve">The amendments in this update expand income tax disclosure requirements, including additional information pertaining to the rate reconciliation, income taxes paid, and other disclosures. </w:t>
      </w:r>
      <w:r>
        <w:rPr>
          <w:rFonts w:ascii="Times New Roman;serif" w:hAnsi="Times New Roman;serif"/>
          <w:b w:val="false"/>
          <w:color w:val="000000"/>
          <w:sz w:val="20"/>
          <w:shd w:fill="FFFFFF" w:val="clear"/>
        </w:rPr>
        <w:t xml:space="preserve">The Company adopted this new guidance prospectively in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adoption of this standard did not to have a material impact on the Company’s consolidated financial statements, and the Company has provided enhanced disclosures as required in Note 19,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shd w:fill="FFFFFF" w:val="clear"/>
        </w:rPr>
        <w:t>. The amendments in this update require disclosure of specified information about certain costs and expenses. This update is effective for annual periods beginning after December 15, 2026. The Company is currently evaluating the effect of adopting this guidance on its consolidated financial statements.</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In November 2024, the FASB issued ASU 2024-04, </w:t>
      </w:r>
      <w:r>
        <w:rPr>
          <w:rFonts w:ascii="Times New Roman;serif" w:hAnsi="Times New Roman;serif"/>
          <w:b w:val="false"/>
          <w:i/>
          <w:color w:val="000000"/>
          <w:sz w:val="20"/>
        </w:rPr>
        <w:t>Debt – Debt with Conversion and Other Options (Subtopic 470-20)</w:t>
      </w:r>
      <w:r>
        <w:rPr>
          <w:rFonts w:ascii="Times New Roman;serif" w:hAnsi="Times New Roman;serif"/>
          <w:b w:val="false"/>
          <w:color w:val="000000"/>
          <w:sz w:val="20"/>
          <w:shd w:fill="FFFFFF" w:val="clear"/>
        </w:rPr>
        <w:t>. The amendments in this update clarify the requirements for determining whether certain settlements of convertible debt instruments should be accounted for as an induced conversion.</w:t>
      </w:r>
      <w:r>
        <w:rPr>
          <w:color w:val="000000"/>
        </w:rPr>
        <w:t xml:space="preserve"> </w:t>
      </w:r>
      <w:r>
        <w:rPr>
          <w:rFonts w:ascii="Times New Roman;serif" w:hAnsi="Times New Roman;serif"/>
          <w:b w:val="false"/>
          <w:color w:val="000000"/>
          <w:sz w:val="20"/>
          <w:shd w:fill="FFFFFF" w:val="clear"/>
        </w:rPr>
        <w:t>This update is effective for annual periods beginning after December 15, 2025. The Company is currently evaluating the effect of adopting this guidance on its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but not yet effective, are not expected to be applicable to the Company or have a material effect on the consolidated financial statements upon future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revenue to date is from sales of the Company’s products, which are primarily sold to wholesalers (customers), which in turn sell the product to pharmacies or other outlets for the treatment of patients.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a customer obtains control of promised goods or services, in an amount that reflects the consideration which the entity expects to receive in exchange for those goods or services. To determine revenue recognition for arrangements with a customer,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expenses incremental costs of obtaining a contract as and when incurred if the expected amortization period of the assets is one year or less.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performance obligations are satisfied, and revenue is recognized when a customer takes control of the Company’s product, which occurs at a point in time. This generally occurs upon delivery of the products to customers, at which point the Company recognizes revenue and records accounts receivable. Payment is typically received 30 to 90 days after satisfaction of the Company’s performance obligations.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Transaction Price and Variable Consideration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measured as the amount of consideration the Company expects to receive in exchange for transferring products or services to a customer (“transaction price”). The transaction price for product sales includes variable consideration related to sales deductions, including: (i) rebates and incentives, including managed care rebates, government rebates, co-pay program incentives, and sales incentives and allowances; (ii) product returns, including return estimates; and (iii) trade allowances and chargebacks, including fees for distribution services, prompt pay discounts, and chargebacks. The Company will estimate the amount of variable consideration that should be included in the transaction price under the expected value method for all sales deductions other than trade allowances, which are estimated under the most likely amount method. These provisions reflect the expected amount of consideration to which the Company is entitled based on the terms of the contract. In addition, the Company made a policy election to exclude from the measurement of the transaction price all taxes that are assessed by a governmental authority that are imposed on revenue-producing transactions.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of variable consideration, which could include estimates of future rebates, returns, and other adjustments, on historical data and other information. Estimates include: (i) timing of the rebates and returns incurred; (ii) pricing adjustments related to rebates and returns; and (iii) the quantity of product that will be rebated or returned in the future. Significant judgment is used in determining the appropriateness of these assumptions at each reporting period.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Rebates and Incentives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rebates and incentives are based on the estimated amount of rebates and incentives to be claimed on the related sales. As the Company’s rebates and incentives are based on products dispensed to patients, the Company is required to estimate the expected value of claims at the time of product delivery to wholesalers. Given that wholesalers sell the product to pharmacies, which in turn dispense the product to patients, claims can be submitted significantly after the related sales are recognized. The Company’s estimates of these claims are based on the historical experience of existing or similar programs, including current contractual and statutory requirements, specific known market events and trends, industry data, and estimated distribution channel inventory levels. Accruals and related reserves required for rebates and incentives are adjusted as new information becomes available, including actual claims. If actual results vary, the Company may need to adjust future estimates, which could have an effect on earnings in the period of the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Product Returns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product returns are based on product-level returns rates, including processed as well as unprocessed return claims, in addition to relevant market events and other factors. Estimates of the future product returns are made at the time of revenue recognition to determine the amount of consideration to which the Company expects to be entitled (that is, excluding the products expected to be returned). At the end of each reporting period, the Company analyzes trends in returns rates and updates its assessment of variable consideration. To the extent the Company receives amounts in excess of what it expects to be entitled to receive due to a product return, the Company does not recognize revenue when it transfers products to customers but instead recognizes those excess amounts received as a refund liability. The Company updates the measurement of the refund liability at the end of each reporting period for changes in expectations about the amount of refunds with the corresponding adjustments recognized as revenue (or reductions of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provides the right of return to its customers for an 18-month window beginning six months prior to expiration and up until twelve months after expiration. The Company’s customers short-pay an existing invoice upon notice of a product return claim. Adjustments to the preliminary short-paid claims are processed when the return claim is validated and finalized. The Company’s return policy requires that product is returned and that the return is claimed within the 18-month window.</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Trade Allowances and Chargebacks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Provisions for trade allowances and chargebacks are primarily based on customer-level contractual terms. Accruals and related reserves are adjusted as new information becomes available, which generally consists of actual trade allowances and chargebacks processed relating to sales recognized.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At the end of each reporting period, the Company updates the estimated transaction price (including updating its assessment of whether an estimate of variable consideration is constrained). Variable consideration, including the risk of customer concessions, is included in the transaction price only to the extent that it is probable that a significant reversal in the amount of cumulative revenue recognized will not occur when the uncertainty is subsequently resolved.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Significant Judgments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Significant judgment is required to determine the variable consideration included in the transaction price as described above. Adjustments to the estimated variable consideration included in the transaction price occurs when new information indicates that the estimate should be revised. If the value of accepted and processed claims is different than the amount estimated and included in variable consideration, then adjustments would impact product revenues, net and earnings in the period such revisions become known. The amount of variable consideration ultimately received and included in the transaction price may materially differ from the Company’s estimates, resulting in additional adjustments recorded to increase or decrease product revenues,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each of the Company’s product revenue provision and allowance categories for the years ended December 31, 2025, 2024, and 2023, respectively:</w:t>
      </w:r>
    </w:p>
    <w:tbl>
      <w:tblPr>
        <w:tblW w:w="8771" w:type="dxa"/>
        <w:jc w:val="left"/>
        <w:tblInd w:w="0" w:type="dxa"/>
        <w:tblLayout w:type="fixed"/>
        <w:tblCellMar>
          <w:top w:w="28" w:type="dxa"/>
          <w:left w:w="28" w:type="dxa"/>
          <w:bottom w:w="28" w:type="dxa"/>
          <w:right w:w="28" w:type="dxa"/>
        </w:tblCellMar>
      </w:tblPr>
      <w:tblGrid>
        <w:gridCol w:w="1451"/>
        <w:gridCol w:w="1273"/>
        <w:gridCol w:w="1281"/>
        <w:gridCol w:w="109"/>
        <w:gridCol w:w="109"/>
        <w:gridCol w:w="109"/>
        <w:gridCol w:w="215"/>
        <w:gridCol w:w="844"/>
        <w:gridCol w:w="111"/>
        <w:gridCol w:w="109"/>
        <w:gridCol w:w="109"/>
        <w:gridCol w:w="109"/>
        <w:gridCol w:w="211"/>
        <w:gridCol w:w="826"/>
        <w:gridCol w:w="109"/>
        <w:gridCol w:w="109"/>
        <w:gridCol w:w="109"/>
        <w:gridCol w:w="109"/>
        <w:gridCol w:w="285"/>
        <w:gridCol w:w="976"/>
        <w:gridCol w:w="208"/>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and</w:t>
            </w:r>
          </w:p>
          <w:p>
            <w:pPr>
              <w:pStyle w:val="TableContents"/>
              <w:bidi w:val="0"/>
              <w:spacing w:lineRule="auto" w:line="240" w:before="0" w:after="0"/>
              <w:jc w:val="center"/>
              <w:rPr/>
            </w:pPr>
            <w:r>
              <w:rPr>
                <w:rFonts w:ascii="Times New Roman;serif" w:hAnsi="Times New Roman;serif"/>
                <w:b/>
                <w:color w:val="000000"/>
                <w:sz w:val="20"/>
              </w:rPr>
              <w:t xml:space="preserve">Incentives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w:t>
            </w:r>
          </w:p>
          <w:p>
            <w:pPr>
              <w:pStyle w:val="TableContents"/>
              <w:bidi w:val="0"/>
              <w:spacing w:lineRule="auto" w:line="240" w:before="0" w:after="0"/>
              <w:jc w:val="center"/>
              <w:rPr/>
            </w:pPr>
            <w:r>
              <w:rPr>
                <w:rFonts w:ascii="Times New Roman;serif" w:hAnsi="Times New Roman;serif"/>
                <w:b/>
                <w:color w:val="000000"/>
                <w:sz w:val="20"/>
              </w:rPr>
              <w:t xml:space="preserve">Returns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Trade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Allowances and</w:t>
            </w:r>
          </w:p>
          <w:p>
            <w:pPr>
              <w:pStyle w:val="TableContents"/>
              <w:bidi w:val="0"/>
              <w:spacing w:lineRule="auto" w:line="240" w:before="0" w:after="0"/>
              <w:jc w:val="center"/>
              <w:rPr/>
            </w:pPr>
            <w:r>
              <w:rPr>
                <w:rFonts w:ascii="Times New Roman;serif" w:hAnsi="Times New Roman;serif"/>
                <w:b/>
                <w:color w:val="000000"/>
                <w:sz w:val="20"/>
              </w:rPr>
              <w:t xml:space="preserve">Chargebacks </w:t>
            </w:r>
            <w:r>
              <w:rPr>
                <w:rFonts w:ascii="Times New Roman;serif" w:hAnsi="Times New Roman;serif"/>
                <w:b/>
                <w:color w:val="000000"/>
                <w:sz w:val="13"/>
              </w:rPr>
              <w:t>(3)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156,937 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22,058 </w:t>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from Ironshore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current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prior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current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Ironshore measurement 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prior period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170,592 </w:t>
            </w:r>
          </w:p>
        </w:tc>
        <w:tc>
          <w:tcPr>
            <w:tcW w:w="1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32,150 </w:t>
            </w:r>
          </w:p>
        </w:tc>
        <w:tc>
          <w:tcPr>
            <w:tcW w:w="2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(1)Provisions for rebates and incentives includes managed care rebates, government rebates and co-pay program incentives. Provisions for rebates and incentives are deducted from gross revenues at the time revenues are recognized and are included in accrued rebates, returns and discounts in the Company’s consolidated balance sheets.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(2)Provisions for product returns are deducted from gross revenues at the time revenues are recognized and are included in accrued rebates, returns and discounts in the Company’s Consolidated Balance Sheets.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(3)Provisions for trade allowances and chargebacks include fees for distribution service fees, prompt pay discounts, and chargebacks. Trade allowances and chargebacks are deducted from gross revenue at the time revenues are recognized and are recorded as a reduction to accounts receivable in the Company’s consolidated balance sheets.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Disaggregation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discloses disaggregated revenue from contracts with customers into categories that depict how the nature, amount, timing, and uncertainty of revenue and cash flows are affected by economic factors. As such, the Company disaggregates its product revenues, net from contracts with customers by product, as disclosed in the table below.</w:t>
      </w:r>
    </w:p>
    <w:p>
      <w:pPr>
        <w:pStyle w:val="TextBody"/>
        <w:bidi w:val="0"/>
        <w:spacing w:before="0" w:after="0"/>
        <w:jc w:val="left"/>
        <w:rPr/>
      </w:pPr>
      <w:r>
        <w:rPr/>
      </w:r>
    </w:p>
    <w:tbl>
      <w:tblPr>
        <w:tblW w:w="6477" w:type="dxa"/>
        <w:jc w:val="left"/>
        <w:tblInd w:w="0" w:type="dxa"/>
        <w:tblLayout w:type="fixed"/>
        <w:tblCellMar>
          <w:top w:w="28" w:type="dxa"/>
          <w:left w:w="28" w:type="dxa"/>
          <w:bottom w:w="28" w:type="dxa"/>
          <w:right w:w="28" w:type="dxa"/>
        </w:tblCellMar>
      </w:tblPr>
      <w:tblGrid>
        <w:gridCol w:w="846"/>
        <w:gridCol w:w="743"/>
        <w:gridCol w:w="751"/>
        <w:gridCol w:w="211"/>
        <w:gridCol w:w="826"/>
        <w:gridCol w:w="109"/>
        <w:gridCol w:w="109"/>
        <w:gridCol w:w="109"/>
        <w:gridCol w:w="109"/>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221,653 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Xtampza 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IR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Nucynta 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rPr>
        <w:t xml:space="preserve">The Company began recognizing revenue from Jornay PM in September 2024 following the acquisition of Ironshore. Refer Note 4, </w:t>
      </w:r>
      <w:r>
        <w:rPr>
          <w:rFonts w:ascii="Times New Roman;serif" w:hAnsi="Times New Roman;serif"/>
          <w:b w:val="false"/>
          <w:i/>
          <w:color w:val="000000"/>
          <w:sz w:val="20"/>
        </w:rPr>
        <w:t>Acquisition</w:t>
      </w:r>
      <w:r>
        <w:rPr>
          <w:rFonts w:ascii="Times New Roman;serif" w:hAnsi="Times New Roman;serif"/>
          <w:b w:val="false"/>
          <w:color w:val="000000"/>
          <w:sz w:val="20"/>
        </w:rPr>
        <w: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19"/>
        </w:rPr>
      </w:pPr>
      <w:r>
        <w:rPr>
          <w:rFonts w:ascii="Times New Roman;serif" w:hAnsi="Times New Roman;serif"/>
          <w:b/>
          <w:color w:val="000000"/>
          <w:sz w:val="19"/>
        </w:rPr>
        <w:t>Contract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liabilities, or deferred revenue, primarily relate to contracts where the Company has received payment, but it has not yet satisfied or fully satisfied the related performance obligations. Upfront payments and fees are recorded as deferred revenue upon receipt or when due and may require deferral of revenue recognition to a future period until the Company satisfies its obligations under these arrangements.</w:t>
      </w:r>
    </w:p>
    <w:p>
      <w:pPr>
        <w:pStyle w:val="TextBody"/>
        <w:bidi w:val="0"/>
        <w:spacing w:lineRule="auto" w:line="276" w:before="0" w:after="0"/>
        <w:jc w:val="left"/>
        <w:rPr/>
      </w:pPr>
      <w:r>
        <w:rPr>
          <w:rFonts w:ascii="Times New Roman;serif" w:hAnsi="Times New Roman;serif"/>
          <w:b w:val="false"/>
          <w:color w:val="000000"/>
          <w:sz w:val="20"/>
        </w:rPr>
        <w:t xml:space="preserve">The Company’s contract liability relates to a contract with Knight Therapeutics, Inc. (“Knight”), which was entered into by Ironshore and Knight in May 2024 and was assumed as part of the Ironshore Acquisition (see Note 4, </w:t>
      </w:r>
      <w:r>
        <w:rPr>
          <w:rFonts w:ascii="Times New Roman;serif" w:hAnsi="Times New Roman;serif"/>
          <w:b w:val="false"/>
          <w:i/>
          <w:color w:val="000000"/>
          <w:sz w:val="20"/>
        </w:rPr>
        <w:t>Acquisition</w:t>
      </w:r>
      <w:r>
        <w:rPr>
          <w:rFonts w:ascii="Times New Roman;serif" w:hAnsi="Times New Roman;serif"/>
          <w:b w:val="false"/>
          <w:color w:val="000000"/>
          <w:sz w:val="20"/>
        </w:rPr>
        <w:t>). The contract provides Knight the right to sell Jornay PM in Canada and certain countries in Latin America, subject to regulatory approval. The contract provides for a nonrefundable upfront payment of $10,000, sales milestones, royalties on net revenue, and reimbursement for certain manufacturing expenses. The Company identified one combined performance obligation in the contract related primarily to the sale of products. The up-front payment will be recognized as revenue as product sales are made over the term of the contract. Product shipments commenced during the three months ended September 30, 2025 and $222 was included in product revenues, net during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4. Acquisition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Ironshore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3, 2024, the Company closed the Ironshore Acquisition. Ironshore had developed and obtained commercial approval to market Jornay PM in the United States. The Ironshore Acquisition was completed to expand the Company’s business beyond pain management and establish a commercial presence in neuropsychiatry via the attention deficit hyperactivity disorder (“ADHD”) market. The Company obtained control through the acquisition of shares in an all-cash transaction which closed on September 3, 2024 (“the Acquisition Date”).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acquisition consideration includes payments for the Ironshore equity and assumption of certain of its debt. The Company deposited $25,000 into escrow at closing, to be released (i) in part, after, and subject to, determination of any adjustments related to finalization of working capital and cash at closing; and (ii) in part, and subject to, the lapse of certain indemnification obligations 12 months from the Acquisition Date. In the three months ended March 31, 2025, the adjustments related to working capital and cash were finalized and settled, resulting in a $3,836 reduction in the amount due to the former Ironshore equity holders. In the three months ended June 30, 2025, the Company was required to pay $7,000 to former Ironshore equity holders as the Company had the opportunity to recover certain acquired deposits as specified in the Merger Agreement, which was due no later than 225 days from the Acquisition Date. The Company also agreed to pay a $25,000 contingent payment upon the achievement of a financial milestone based on net revenues of Jornay PM for the year ended December 31, 2025, which was not achieved.</w:t>
      </w:r>
    </w:p>
    <w:p>
      <w:pPr>
        <w:pStyle w:val="TextBody"/>
        <w:bidi w:val="0"/>
        <w:spacing w:lineRule="auto" w:line="288" w:before="0" w:after="200"/>
        <w:jc w:val="left"/>
        <w:rPr/>
      </w:pPr>
      <w:r>
        <w:rPr>
          <w:rFonts w:ascii="Times New Roman;serif" w:hAnsi="Times New Roman;serif"/>
          <w:b w:val="false"/>
          <w:color w:val="000000"/>
          <w:sz w:val="20"/>
        </w:rPr>
        <w:t xml:space="preserve">As of December 31, 2025, approximately $17,565 is due to the former Ironshore equity holders recorded as deferred business combination consideration payable and $19,850 remains in escrow recorded as restricted cash. This amount remains unpaid due to the indemnification obligations in the Ironshore Acquisition and the ongoing North Sound Pharmaceutical (“NSP”) arbitration (refer to Note 13, </w:t>
      </w:r>
      <w:r>
        <w:rPr>
          <w:rFonts w:ascii="Times New Roman;serif" w:hAnsi="Times New Roman;serif"/>
          <w:b w:val="false"/>
          <w:i/>
          <w:color w:val="000000"/>
          <w:sz w:val="20"/>
        </w:rPr>
        <w:t>Commitments and Contingencies – David Lickrish, as legal assignee of North Sound Pharmaceuticals, Inc. (In Official Liquidation)</w:t>
      </w:r>
      <w:r>
        <w:rPr>
          <w:rFonts w:ascii="Times New Roman;serif" w:hAnsi="Times New Roman;serif"/>
          <w:b w:val="false"/>
          <w:color w:val="000000"/>
          <w:sz w:val="20"/>
        </w:rPr>
        <w:t xml:space="preserve">, for more information).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fair value of the total consideration was approximately $306,104 consisting of the following (in thousands):</w:t>
      </w:r>
    </w:p>
    <w:tbl>
      <w:tblPr>
        <w:tblW w:w="6861" w:type="dxa"/>
        <w:jc w:val="left"/>
        <w:tblInd w:w="0" w:type="dxa"/>
        <w:tblLayout w:type="fixed"/>
        <w:tblCellMar>
          <w:top w:w="28" w:type="dxa"/>
          <w:left w:w="28" w:type="dxa"/>
          <w:bottom w:w="28" w:type="dxa"/>
          <w:right w:w="28" w:type="dxa"/>
        </w:tblCellMar>
      </w:tblPr>
      <w:tblGrid>
        <w:gridCol w:w="2052"/>
        <w:gridCol w:w="1807"/>
        <w:gridCol w:w="1811"/>
        <w:gridCol w:w="211"/>
        <w:gridCol w:w="826"/>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Fair Value of Purchase Price Consideration</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purchase price consideration paid at closing:</w:t>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 and contingent consideration: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held in escrow related to indemnification and other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306,104 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Ironshore Acquisition as a business combination and, accordingly, has included the assets acquired, liabilities assumed and results of operations in its financial statements following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purchase price was based on estimates, assumptions, valuations and other studies, which were finalized within the measurement period, no later than one year after the Acquisition Date. Measurement period adjustments were recognized subsequent to the preliminary estimates. During the year ended December 31, 2025, the Company recognized measurement period adjustments to decrease accrued rebates, returns, and discounts by $23,227, goodwill by $16,048, deferred tax assets by $11,039, and certain other accounts by $502. During the year ended December 31, 2024, the Company recognized measurement period adjustments to increase accrued rebates, returns, and discounts by $31,298, deferred tax assets by $15,368, goodwill by $16,374 and certain other accounts by $444.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final allocation of the Ironshore Acquisition purchase price to the estimated fair value of the net assets acquired at the Acquisition Date:</w:t>
      </w:r>
    </w:p>
    <w:tbl>
      <w:tblPr>
        <w:tblW w:w="7319" w:type="dxa"/>
        <w:jc w:val="left"/>
        <w:tblInd w:w="0" w:type="dxa"/>
        <w:tblLayout w:type="fixed"/>
        <w:tblCellMar>
          <w:top w:w="28" w:type="dxa"/>
          <w:left w:w="28" w:type="dxa"/>
          <w:bottom w:w="28" w:type="dxa"/>
          <w:right w:w="28" w:type="dxa"/>
        </w:tblCellMar>
      </w:tblPr>
      <w:tblGrid>
        <w:gridCol w:w="1248"/>
        <w:gridCol w:w="1099"/>
        <w:gridCol w:w="1103"/>
        <w:gridCol w:w="685"/>
        <w:gridCol w:w="2684"/>
        <w:gridCol w:w="500"/>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Amounts Recognized at the Acquisition Date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38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44,593 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33,921 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8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749,980 </w:t>
            </w:r>
          </w:p>
        </w:tc>
        <w:tc>
          <w:tcPr>
            <w:tcW w:w="50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3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73,437 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returns and discounts</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87,697 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8,954 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payable</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151,500 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8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455,944 </w:t>
            </w:r>
          </w:p>
        </w:tc>
        <w:tc>
          <w:tcPr>
            <w:tcW w:w="50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33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294,036 </w:t>
            </w:r>
          </w:p>
        </w:tc>
        <w:tc>
          <w:tcPr>
            <w:tcW w:w="5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68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306,104 </w:t>
            </w:r>
          </w:p>
        </w:tc>
        <w:tc>
          <w:tcPr>
            <w:tcW w:w="5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rPr>
        <w:t xml:space="preserve">The valuation of the acquired intangible asset and assumed deferred royalty obligations relies on significant unobservable inputs. The Company used an income approach to value the acquired intangible asset. The valuation of the intangible asset was based on estimated projections of expected cash flows to be generated by the asset, discounted to the present value at an appropriate discount rate. The Company is amortizing the identifiable intangible asset on a straight-line basis over its useful life of 7.7 years (refer to Note 11,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The acquired inventory was recorded at fair value, which includes an adjustment of $10,700 to record inventory from its historic cost to fair value. The assumed senior secured notes payable and borrowings were settled immediately after the close of the acquisition, resulting in a loss in debt extinguishment of $4,145 in the year ended December 31,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excess of the purchase price over the fair value of identifiable net assets acquired represents goodwill. This goodwill is primarily attributable to synergies of merging operations. The acquired goodwill is not deductible for tax purposes.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attributable to Ironshore from the Acquisition Date through December 31, 2024 were $37,239. However, earnings attributable to Ironshore from the Acquisition Date through December 31, 2024 are not distinguishable due to the rapid integration of Ironshore’s core operations into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Unaudited Pro Forma Summary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unaudited pro forma summary of operations for the twelve months ended December 31, 2024 and 2023, as if the Ironshore Acquisition had occurred on January 1, 2023. This pro forma information does not purport to represent what the Company’s actual results would have been if the acquisition had occurred as of January 1, 2023, and is not indicative of what such results would be expected for any future period (in thousands):</w:t>
      </w:r>
    </w:p>
    <w:tbl>
      <w:tblPr>
        <w:tblW w:w="4058" w:type="dxa"/>
        <w:jc w:val="left"/>
        <w:tblInd w:w="0" w:type="dxa"/>
        <w:tblLayout w:type="fixed"/>
        <w:tblCellMar>
          <w:top w:w="28" w:type="dxa"/>
          <w:left w:w="28" w:type="dxa"/>
          <w:bottom w:w="28" w:type="dxa"/>
          <w:right w:w="28" w:type="dxa"/>
        </w:tblCellMar>
      </w:tblPr>
      <w:tblGrid>
        <w:gridCol w:w="477"/>
        <w:gridCol w:w="420"/>
        <w:gridCol w:w="422"/>
        <w:gridCol w:w="211"/>
        <w:gridCol w:w="826"/>
        <w:gridCol w:w="109"/>
        <w:gridCol w:w="109"/>
        <w:gridCol w:w="109"/>
        <w:gridCol w:w="109"/>
        <w:gridCol w:w="211"/>
        <w:gridCol w:w="90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694,874 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645,353 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unaudited pro forma financial information was prepared using the acquisition method of accounting and was based on the historical financial information of the Company and Ironshore. The summary pro forma financial information primarily reflects the following pro forma adjustments: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Employee severance-related expense of $10,360 was reflected as of January 1,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acquisition-related transaction costs of $9,046 were reflected as of January 1,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amortization expense from the acquired intangibles;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cost of product revenues related to the step-up basis in inventory to record inventory at fair value;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Adjustments to the Company’s interest expense related to additional borrowings on the 2024 Term Loan as defined in Note 14,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and elimination of certain Ironshore debt.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all of the above adjustments were adjusted for the applicable tax impact.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Acquisition Related Expenses</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In the years ended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 xml:space="preserve">the Company incurred </w:t>
      </w:r>
      <w:r>
        <w:rPr>
          <w:rFonts w:ascii="Times New Roman;serif" w:hAnsi="Times New Roman;serif"/>
          <w:b w:val="false"/>
          <w:color w:val="000000"/>
          <w:sz w:val="20"/>
        </w:rPr>
        <w:t>$4,175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$24,329 </w:t>
      </w:r>
      <w:r>
        <w:rPr>
          <w:rFonts w:ascii="Times New Roman;serif" w:hAnsi="Times New Roman;serif"/>
          <w:b w:val="false"/>
          <w:color w:val="000000"/>
          <w:sz w:val="20"/>
          <w:shd w:fill="FFFFFF" w:val="clear"/>
        </w:rPr>
        <w:t xml:space="preserve">respectively, of acquisition related expenses as a result of the Ironshore Acquisition and the substantial majority were included in Selling, general, and administrative expense in the consolidated statements of operations. These costs included transaction costs, which primarily consisted of financial advisory, banking, legal, and regulatory fees, and other consulting fees, incurred to complete the acquisition; employee-related expenses (severance cost and benefits) for terminated employees after the acquisition, Ironshore directors and officers insurance purchased at the closing of the Ironshore Acquisition, legal defense expenses for the NSP arbitration that was acquired from Ironshore and relates to acts that occurred prior to Collegium’s acquisition of Ironshore (refer to Note 13, </w:t>
      </w:r>
      <w:r>
        <w:rPr>
          <w:rFonts w:ascii="Times New Roman;serif" w:hAnsi="Times New Roman;serif"/>
          <w:b w:val="false"/>
          <w:i/>
          <w:color w:val="000000"/>
          <w:sz w:val="20"/>
          <w:shd w:fill="FFFFFF" w:val="clear"/>
        </w:rPr>
        <w:t>Commitments and Contingencies – David Lickrish, as legal assignee of North Sound Pharmaceuticals, Inc. (In Official Liquidation)</w:t>
      </w:r>
      <w:r>
        <w:rPr>
          <w:rFonts w:ascii="Times New Roman;serif" w:hAnsi="Times New Roman;serif"/>
          <w:b w:val="false"/>
          <w:color w:val="000000"/>
          <w:sz w:val="20"/>
          <w:shd w:fill="FFFFFF" w:val="clear"/>
        </w:rPr>
        <w:t>, for more information), and miscellaneous other acquisition expenses incurred, including integration consulting expenses, expenses related to exiting contracts acquired from Ironshore, and expenses associated with maintaining the escrow account related to the Ironshore Acquisition.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expects to incur additional acquisition related expenses in 2026 relating to the NSP arbitration acquired from Ironshore and expenses associated with maintaining the escrow account related to the Ironshore Acquisition.</w:t>
      </w:r>
    </w:p>
    <w:tbl>
      <w:tblPr>
        <w:tblW w:w="7991" w:type="dxa"/>
        <w:jc w:val="left"/>
        <w:tblInd w:w="0" w:type="dxa"/>
        <w:tblLayout w:type="fixed"/>
        <w:tblCellMar>
          <w:top w:w="28" w:type="dxa"/>
          <w:left w:w="28" w:type="dxa"/>
          <w:bottom w:w="28" w:type="dxa"/>
          <w:right w:w="28" w:type="dxa"/>
        </w:tblCellMar>
      </w:tblPr>
      <w:tblGrid>
        <w:gridCol w:w="2015"/>
        <w:gridCol w:w="1771"/>
        <w:gridCol w:w="1779"/>
        <w:gridCol w:w="218"/>
        <w:gridCol w:w="637"/>
        <w:gridCol w:w="112"/>
        <w:gridCol w:w="112"/>
        <w:gridCol w:w="112"/>
        <w:gridCol w:w="112"/>
        <w:gridCol w:w="218"/>
        <w:gridCol w:w="746"/>
        <w:gridCol w:w="159"/>
      </w:tblGrid>
      <w:tr>
        <w:trPr/>
        <w:tc>
          <w:tcPr>
            <w:tcW w:w="201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Ironshore directors and officers insurance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defense expenses for NSP arbitration acquired from Ironshore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acquisition expenses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related expenses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24,329 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5. Licenses Agreements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license agreements to develop and commercialize its products. Amounts owed under these agreements may require estimates and other judgments related to contractual requirements, which creates uncertainty over the ultimate amount that would be paid under these arrangements. Contractual amounts due are accrued based on the Company's interpretation.</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Grünenthal License</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acquisition of the Nucynta Products from Assertio Therapeutics, Inc. (the “Nucynta Acquisition”), the Company assumed all commercialization responsibilities, including sales and marketing, for the Nucynta Products through the acquisition of a license from Grünenthal Gmbh (“Grünenthal”) (the “Grünenthal License”).</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Grünenthal License, the Company is obligated to make royalty payments directly to Grünenthal at a rate of 14% or 7% of Net Sales (as defined therein) of the Nucynta Products, with the applicable rate determined based on the timing of certain patent expirations. These royalty obligations continue through the contractual royalty term, unless earlier terminated. Upon expiration of the Grünenthal License, the Company will retain a fully paid up, non-exclusive license to make, use and sell the Nucynta Products under the Grünenthal Patents (as defined therein) in the United States.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recognized a $3,058 charge related to the Company’s license agreement with Grünenthal, which was paid in October 2025. The charge related to the timing of royalty payments due under the license agreement, as confirmed through an arbitration process, and was included in cost of product revenues. The payment is contingently recoverable through reduced royalty payments when product returns are settled. Recoveries will be recognized within cost of product revenues when realized.</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Shionogi License and Supply Agreement</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Company's acquisition of BioDelivery Sciences International, Inc. ("BDSI") in March 2022 (the "BDSI Acquisition"), BDSI and Shionogi Inc. (“Shionogi”) entered into an exclusive license agreement (the “Shionogi License Agreement”) for the commercialization of Symproic in the United States including Puerto Rico (the “Shionogi Territory”) for the treatment of opioid-induced constipation in adult patients with chronic non-cancer pain (the “Shionogi Field”).</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terms of the Shionogi License Agreement, tiered royalty payments on net sales of Symproic in the Shionogi Territory are payable quarterly based on a royalty rate that ranges from 8.5% to 17.5% (plus an additional 1% of net sales on a pass-through basis to a third-party licensor of Shionogi) based on volume of net sales and whether Symproic is being sold as an authorized generic. Unless earlier terminated, the Shionogi License Agreement will continue in effect until the expiration of the royalty obligations, as defined therein. Upon expiration of the Shionogi License Agreement, all licenses granted for Symproic in the Shionogi Field and in the Shionogi Territory survive and become fully-paid, royalty-free, perpetual and irrevocable.</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BDSI and Shionogi also had entered into a supply agreement under which Shionogi will supply Symproic at cost plus an agreed upon markup. In the event that Symproic is sourced from a third-party supplier, Shionogi would continue to supply naldemedine tosylate for use in Symproic manufacturing at cost plus such agreed upon markup for the duration of the Shionogi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by dividing the net income or loss by the weighted-average number of shares of common stock outstanding during the period, without consideration for potentially dilutive securities. Diluted earnings per share is computed by dividing the net income or loss by the weighted-average number of shares of common stock, plus potentially dilutive securities outstanding for the period, as determined in accordance with the treasury stock, if-converted, or contingently issuable accounting methods, depending on the nature of the security. For purposes of the diluted earnings per share calculation, stock options, restricted stock units (“RSUs”), performance share units (“PSUs”), and shares potentially issuable in connection with the employee stock purchase plan and convertible senior notes are considered potentially dilutive securities and included to the extent that their addition is not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computations of basic and dilutive earnings per common share:</w:t>
      </w:r>
    </w:p>
    <w:tbl>
      <w:tblPr>
        <w:tblW w:w="10205" w:type="dxa"/>
        <w:jc w:val="left"/>
        <w:tblInd w:w="0" w:type="dxa"/>
        <w:tblLayout w:type="fixed"/>
        <w:tblCellMar>
          <w:top w:w="28" w:type="dxa"/>
          <w:left w:w="28" w:type="dxa"/>
          <w:bottom w:w="28" w:type="dxa"/>
          <w:right w:w="28" w:type="dxa"/>
        </w:tblCellMar>
      </w:tblPr>
      <w:tblGrid>
        <w:gridCol w:w="2328"/>
        <w:gridCol w:w="2018"/>
        <w:gridCol w:w="2036"/>
        <w:gridCol w:w="211"/>
        <w:gridCol w:w="721"/>
        <w:gridCol w:w="109"/>
        <w:gridCol w:w="109"/>
        <w:gridCol w:w="109"/>
        <w:gridCol w:w="109"/>
        <w:gridCol w:w="211"/>
        <w:gridCol w:w="721"/>
        <w:gridCol w:w="109"/>
        <w:gridCol w:w="109"/>
        <w:gridCol w:w="109"/>
        <w:gridCol w:w="109"/>
        <w:gridCol w:w="211"/>
        <w:gridCol w:w="721"/>
        <w:gridCol w:w="155"/>
      </w:tblGrid>
      <w:tr>
        <w:trPr/>
        <w:tc>
          <w:tcPr>
            <w:tcW w:w="232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interest expense recognized on convertible senior notes,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diluted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54,044 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31,706,429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32,273,850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33,741,213</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271,540</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714,190</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267,761</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6,793,421</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41,788,125</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the option to settle the conversion obligation for its convertible senior notes in cash, shares or a combination of the two. The Company uses the if-converted method for the convertible 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dilutive securities excluded from the calculation of diluted earnings per share:</w:t>
      </w:r>
    </w:p>
    <w:tbl>
      <w:tblPr>
        <w:tblW w:w="5925" w:type="dxa"/>
        <w:jc w:val="left"/>
        <w:tblInd w:w="0" w:type="dxa"/>
        <w:tblLayout w:type="fixed"/>
        <w:tblCellMar>
          <w:top w:w="28" w:type="dxa"/>
          <w:left w:w="28" w:type="dxa"/>
          <w:bottom w:w="28" w:type="dxa"/>
          <w:right w:w="28" w:type="dxa"/>
        </w:tblCellMar>
      </w:tblPr>
      <w:tblGrid>
        <w:gridCol w:w="939"/>
        <w:gridCol w:w="824"/>
        <w:gridCol w:w="832"/>
        <w:gridCol w:w="259"/>
        <w:gridCol w:w="259"/>
        <w:gridCol w:w="263"/>
        <w:gridCol w:w="157"/>
        <w:gridCol w:w="157"/>
        <w:gridCol w:w="157"/>
        <w:gridCol w:w="259"/>
        <w:gridCol w:w="259"/>
        <w:gridCol w:w="263"/>
        <w:gridCol w:w="157"/>
        <w:gridCol w:w="157"/>
        <w:gridCol w:w="157"/>
        <w:gridCol w:w="241"/>
        <w:gridCol w:w="241"/>
        <w:gridCol w:w="34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130,344</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130,344</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259,405</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232,269</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217,490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232,572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308,680</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37,593</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performance share units, these securities were excluded from the calculation of diluted earnings per share as the performance-based or market-based vesting conditions were not met as of the end of the reporting period. All other securities presented in the table above were excluded from the calculation of diluted earnings per share as their inclusion would have had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Marketable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were classified on the consolidated balance sheets at fair value as follows:</w:t>
      </w:r>
    </w:p>
    <w:tbl>
      <w:tblPr>
        <w:tblW w:w="5155" w:type="dxa"/>
        <w:jc w:val="left"/>
        <w:tblInd w:w="0" w:type="dxa"/>
        <w:tblLayout w:type="fixed"/>
        <w:tblCellMar>
          <w:top w:w="28" w:type="dxa"/>
          <w:left w:w="28" w:type="dxa"/>
          <w:bottom w:w="28" w:type="dxa"/>
          <w:right w:w="28" w:type="dxa"/>
        </w:tblCellMar>
      </w:tblPr>
      <w:tblGrid>
        <w:gridCol w:w="820"/>
        <w:gridCol w:w="720"/>
        <w:gridCol w:w="724"/>
        <w:gridCol w:w="232"/>
        <w:gridCol w:w="908"/>
        <w:gridCol w:w="119"/>
        <w:gridCol w:w="109"/>
        <w:gridCol w:w="109"/>
        <w:gridCol w:w="109"/>
        <w:gridCol w:w="253"/>
        <w:gridCol w:w="867"/>
        <w:gridCol w:w="18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8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94,191 </w:t>
            </w:r>
          </w:p>
        </w:tc>
        <w:tc>
          <w:tcPr>
            <w:tcW w:w="18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consisted of the following:</w:t>
      </w:r>
    </w:p>
    <w:tbl>
      <w:tblPr>
        <w:tblW w:w="10205" w:type="dxa"/>
        <w:jc w:val="left"/>
        <w:tblInd w:w="0" w:type="dxa"/>
        <w:tblLayout w:type="fixed"/>
        <w:tblCellMar>
          <w:top w:w="28" w:type="dxa"/>
          <w:left w:w="28" w:type="dxa"/>
          <w:bottom w:w="28" w:type="dxa"/>
          <w:right w:w="28" w:type="dxa"/>
        </w:tblCellMar>
      </w:tblPr>
      <w:tblGrid>
        <w:gridCol w:w="993"/>
        <w:gridCol w:w="874"/>
        <w:gridCol w:w="856"/>
        <w:gridCol w:w="253"/>
        <w:gridCol w:w="994"/>
        <w:gridCol w:w="130"/>
        <w:gridCol w:w="109"/>
        <w:gridCol w:w="109"/>
        <w:gridCol w:w="109"/>
        <w:gridCol w:w="519"/>
        <w:gridCol w:w="1149"/>
        <w:gridCol w:w="269"/>
        <w:gridCol w:w="109"/>
        <w:gridCol w:w="109"/>
        <w:gridCol w:w="109"/>
        <w:gridCol w:w="522"/>
        <w:gridCol w:w="1194"/>
        <w:gridCol w:w="272"/>
        <w:gridCol w:w="109"/>
        <w:gridCol w:w="109"/>
        <w:gridCol w:w="109"/>
        <w:gridCol w:w="211"/>
        <w:gridCol w:w="826"/>
        <w:gridCol w:w="162"/>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139,833 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140,261 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Government-sponsored securities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154,995 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2024</w:t>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available-for-sale debt securities were as follows:</w:t>
      </w:r>
    </w:p>
    <w:tbl>
      <w:tblPr>
        <w:tblW w:w="6325" w:type="dxa"/>
        <w:jc w:val="left"/>
        <w:tblInd w:w="0" w:type="dxa"/>
        <w:tblLayout w:type="fixed"/>
        <w:tblCellMar>
          <w:top w:w="28" w:type="dxa"/>
          <w:left w:w="28" w:type="dxa"/>
          <w:bottom w:w="28" w:type="dxa"/>
          <w:right w:w="28" w:type="dxa"/>
        </w:tblCellMar>
      </w:tblPr>
      <w:tblGrid>
        <w:gridCol w:w="1244"/>
        <w:gridCol w:w="1091"/>
        <w:gridCol w:w="1099"/>
        <w:gridCol w:w="232"/>
        <w:gridCol w:w="908"/>
        <w:gridCol w:w="119"/>
        <w:gridCol w:w="109"/>
        <w:gridCol w:w="109"/>
        <w:gridCol w:w="109"/>
        <w:gridCol w:w="253"/>
        <w:gridCol w:w="867"/>
        <w:gridCol w:w="185"/>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Matures within one year</w:t>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52,078 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50,469 </w:t>
            </w:r>
          </w:p>
        </w:tc>
        <w:tc>
          <w:tcPr>
            <w:tcW w:w="18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Matures after one year through five years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155,427 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94,191 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Sales of marketable securities during the year ended December 31, 2025 were immaterial. There were no sales of marketable securities during the years ended December 31, 2024 or 2023. Net realized holding gains or losses for the period that have been previously included in accumulated other comprehensive income were not material.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record any allowances for credit losses to adjust the fair value of available-for-sale debt securities during the year ended December 31, 2025 or 2024.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generally does not intend to sell any investments prior to recovery of their amortized cost basis for any investment in an unrealized loss position. As such, the Company did not hold any securities with other-than-temporary impairment as of December 31,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Inventory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3879"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11"/>
        <w:gridCol w:w="721"/>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18,963 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54,926 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Long-term inventory is included in other noncurrent assets in the Company’s consolidated balance sheet.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inventory consisted of the following:</w:t>
      </w:r>
    </w:p>
    <w:tbl>
      <w:tblPr>
        <w:tblW w:w="4463" w:type="dxa"/>
        <w:jc w:val="left"/>
        <w:tblInd w:w="0" w:type="dxa"/>
        <w:tblLayout w:type="fixed"/>
        <w:tblCellMar>
          <w:top w:w="28" w:type="dxa"/>
          <w:left w:w="28" w:type="dxa"/>
          <w:bottom w:w="28" w:type="dxa"/>
          <w:right w:w="28" w:type="dxa"/>
        </w:tblCellMar>
      </w:tblPr>
      <w:tblGrid>
        <w:gridCol w:w="727"/>
        <w:gridCol w:w="637"/>
        <w:gridCol w:w="645"/>
        <w:gridCol w:w="211"/>
        <w:gridCol w:w="721"/>
        <w:gridCol w:w="109"/>
        <w:gridCol w:w="109"/>
        <w:gridCol w:w="109"/>
        <w:gridCol w:w="109"/>
        <w:gridCol w:w="211"/>
        <w:gridCol w:w="72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35,560 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expenses related to excess and obsolete inventory that were recorded as a component of cost of product revenues were $725, $866, and $1,624,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9. Prepaid Expenses and Other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5904" w:type="dxa"/>
        <w:jc w:val="left"/>
        <w:tblInd w:w="0" w:type="dxa"/>
        <w:tblLayout w:type="fixed"/>
        <w:tblCellMar>
          <w:top w:w="28" w:type="dxa"/>
          <w:left w:w="28" w:type="dxa"/>
          <w:bottom w:w="28" w:type="dxa"/>
          <w:right w:w="28" w:type="dxa"/>
        </w:tblCellMar>
      </w:tblPr>
      <w:tblGrid>
        <w:gridCol w:w="1250"/>
        <w:gridCol w:w="1098"/>
        <w:gridCol w:w="1102"/>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co-pay program incentives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regulatory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noncurrent assets consisted of the following:</w:t>
      </w:r>
    </w:p>
    <w:tbl>
      <w:tblPr>
        <w:tblW w:w="7960" w:type="dxa"/>
        <w:jc w:val="left"/>
        <w:tblInd w:w="0" w:type="dxa"/>
        <w:tblLayout w:type="fixed"/>
        <w:tblCellMar>
          <w:top w:w="28" w:type="dxa"/>
          <w:left w:w="28" w:type="dxa"/>
          <w:bottom w:w="28" w:type="dxa"/>
          <w:right w:w="28" w:type="dxa"/>
        </w:tblCellMar>
      </w:tblPr>
      <w:tblGrid>
        <w:gridCol w:w="2001"/>
        <w:gridCol w:w="1763"/>
        <w:gridCol w:w="1770"/>
        <w:gridCol w:w="218"/>
        <w:gridCol w:w="746"/>
        <w:gridCol w:w="112"/>
        <w:gridCol w:w="112"/>
        <w:gridCol w:w="112"/>
        <w:gridCol w:w="112"/>
        <w:gridCol w:w="218"/>
        <w:gridCol w:w="637"/>
        <w:gridCol w:w="159"/>
      </w:tblGrid>
      <w:tr>
        <w:trPr/>
        <w:tc>
          <w:tcPr>
            <w:tcW w:w="200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discounts and issuance costs for 2025 Credit Facility</w:t>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Property and Equipment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5229" w:type="dxa"/>
        <w:jc w:val="left"/>
        <w:tblInd w:w="0" w:type="dxa"/>
        <w:tblLayout w:type="fixed"/>
        <w:tblCellMar>
          <w:top w:w="28" w:type="dxa"/>
          <w:left w:w="28" w:type="dxa"/>
          <w:bottom w:w="28" w:type="dxa"/>
          <w:right w:w="28" w:type="dxa"/>
        </w:tblCellMar>
      </w:tblPr>
      <w:tblGrid>
        <w:gridCol w:w="1004"/>
        <w:gridCol w:w="883"/>
        <w:gridCol w:w="888"/>
        <w:gridCol w:w="211"/>
        <w:gridCol w:w="721"/>
        <w:gridCol w:w="109"/>
        <w:gridCol w:w="109"/>
        <w:gridCol w:w="109"/>
        <w:gridCol w:w="109"/>
        <w:gridCol w:w="211"/>
        <w:gridCol w:w="72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office equipment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28,555 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property and equipment amounted to $4,182, $3,856, and $3,496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11. Goodwill and Intangible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performed the annual impairment review as of October 1, 2025 and concluded that it is not more likely than not that the fair value of the Company’s reporting unit is less than its carrying amount.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summarizes the changes in the carrying amount of goodwill:</w:t>
      </w:r>
    </w:p>
    <w:tbl>
      <w:tblPr>
        <w:tblW w:w="6230" w:type="dxa"/>
        <w:jc w:val="left"/>
        <w:tblInd w:w="0" w:type="dxa"/>
        <w:tblLayout w:type="fixed"/>
        <w:tblCellMar>
          <w:top w:w="28" w:type="dxa"/>
          <w:left w:w="28" w:type="dxa"/>
          <w:bottom w:w="28" w:type="dxa"/>
          <w:right w:w="28" w:type="dxa"/>
        </w:tblCellMar>
      </w:tblPr>
      <w:tblGrid>
        <w:gridCol w:w="1825"/>
        <w:gridCol w:w="1602"/>
        <w:gridCol w:w="1612"/>
        <w:gridCol w:w="211"/>
        <w:gridCol w:w="826"/>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133,857 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resulting from Ironshore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162,333 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from Ironshore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145,925 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cost, accumulated amortization, and carrying amount of intangible assets as of December 31, 2025 and 2024:</w:t>
      </w:r>
    </w:p>
    <w:tbl>
      <w:tblPr>
        <w:tblW w:w="10205" w:type="dxa"/>
        <w:jc w:val="left"/>
        <w:tblInd w:w="0" w:type="dxa"/>
        <w:tblLayout w:type="fixed"/>
        <w:tblCellMar>
          <w:top w:w="28" w:type="dxa"/>
          <w:left w:w="28" w:type="dxa"/>
          <w:bottom w:w="28" w:type="dxa"/>
          <w:right w:w="28" w:type="dxa"/>
        </w:tblCellMar>
      </w:tblPr>
      <w:tblGrid>
        <w:gridCol w:w="570"/>
        <w:gridCol w:w="264"/>
        <w:gridCol w:w="222"/>
        <w:gridCol w:w="211"/>
        <w:gridCol w:w="976"/>
        <w:gridCol w:w="109"/>
        <w:gridCol w:w="109"/>
        <w:gridCol w:w="109"/>
        <w:gridCol w:w="109"/>
        <w:gridCol w:w="231"/>
        <w:gridCol w:w="925"/>
        <w:gridCol w:w="121"/>
        <w:gridCol w:w="109"/>
        <w:gridCol w:w="109"/>
        <w:gridCol w:w="109"/>
        <w:gridCol w:w="213"/>
        <w:gridCol w:w="835"/>
        <w:gridCol w:w="110"/>
        <w:gridCol w:w="109"/>
        <w:gridCol w:w="109"/>
        <w:gridCol w:w="109"/>
        <w:gridCol w:w="211"/>
        <w:gridCol w:w="976"/>
        <w:gridCol w:w="109"/>
        <w:gridCol w:w="109"/>
        <w:gridCol w:w="109"/>
        <w:gridCol w:w="109"/>
        <w:gridCol w:w="231"/>
        <w:gridCol w:w="925"/>
        <w:gridCol w:w="121"/>
        <w:gridCol w:w="109"/>
        <w:gridCol w:w="109"/>
        <w:gridCol w:w="109"/>
        <w:gridCol w:w="213"/>
        <w:gridCol w:w="835"/>
        <w:gridCol w:w="162"/>
      </w:tblGrid>
      <w:tr>
        <w:trPr/>
        <w:tc>
          <w:tcPr>
            <w:tcW w:w="5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(111,072)</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523,928 </w:t>
            </w:r>
          </w:p>
        </w:tc>
        <w:tc>
          <w:tcPr>
            <w:tcW w:w="1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(27,242)</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607,758 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Nucynta Products</w:t>
            </w:r>
            <w:r>
              <w:rPr>
                <w:color w:val="000000"/>
              </w:rPr>
              <w:t xml:space="preserve">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(916,660)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(694,768)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891,402 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20"/>
        </w:rPr>
        <w:t xml:space="preserve">The following table presents amortization expense recognized in cost of product revenues for </w:t>
      </w:r>
      <w:r>
        <w:rPr>
          <w:rFonts w:ascii="Times New Roman;serif" w:hAnsi="Times New Roman;serif"/>
          <w:b w:val="false"/>
          <w:color w:val="000000"/>
          <w:sz w:val="20"/>
          <w:shd w:fill="FFFFFF" w:val="clear"/>
        </w:rPr>
        <w:t>the years ended December 31, 2025, 2024, and 2023</w:t>
      </w:r>
      <w:r>
        <w:rPr>
          <w:rFonts w:ascii="Times New Roman;serif" w:hAnsi="Times New Roman;serif"/>
          <w:b w:val="false"/>
          <w:color w:val="000000"/>
          <w:sz w:val="20"/>
        </w:rPr>
        <w:t>:</w:t>
      </w:r>
    </w:p>
    <w:tbl>
      <w:tblPr>
        <w:tblW w:w="6477" w:type="dxa"/>
        <w:jc w:val="left"/>
        <w:tblInd w:w="0" w:type="dxa"/>
        <w:tblLayout w:type="fixed"/>
        <w:tblCellMar>
          <w:top w:w="28" w:type="dxa"/>
          <w:left w:w="28" w:type="dxa"/>
          <w:bottom w:w="28" w:type="dxa"/>
          <w:right w:w="28" w:type="dxa"/>
        </w:tblCellMar>
      </w:tblPr>
      <w:tblGrid>
        <w:gridCol w:w="847"/>
        <w:gridCol w:w="743"/>
        <w:gridCol w:w="750"/>
        <w:gridCol w:w="211"/>
        <w:gridCol w:w="826"/>
        <w:gridCol w:w="109"/>
        <w:gridCol w:w="109"/>
        <w:gridCol w:w="109"/>
        <w:gridCol w:w="109"/>
        <w:gridCol w:w="211"/>
        <w:gridCol w:w="826"/>
        <w:gridCol w:w="109"/>
        <w:gridCol w:w="109"/>
        <w:gridCol w:w="109"/>
        <w:gridCol w:w="109"/>
        <w:gridCol w:w="211"/>
        <w:gridCol w:w="82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Jornay PM</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83,830 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Belbuca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Nucynta Products</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Symproic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During the year ended December 31, 2023, the United States Food and Drug Administration (“FDA”) granted New Patient Population exclusivity in pediatrics for Nucynta IR which extends the period of U.S. exclusivity for Nucynta IR to July 3, 2026, resulting in an extension of the estimated useful life of the underlying intangible asset from 8.0 years to 8.5 years. </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 remaining amortization expense expected to be recognized is as follows:</w:t>
      </w:r>
    </w:p>
    <w:tbl>
      <w:tblPr>
        <w:tblW w:w="10137" w:type="dxa"/>
        <w:jc w:val="left"/>
        <w:tblInd w:w="0" w:type="dxa"/>
        <w:tblLayout w:type="fixed"/>
        <w:tblCellMar>
          <w:top w:w="28" w:type="dxa"/>
          <w:left w:w="28" w:type="dxa"/>
          <w:bottom w:w="28" w:type="dxa"/>
          <w:right w:w="28" w:type="dxa"/>
        </w:tblCellMar>
      </w:tblPr>
      <w:tblGrid>
        <w:gridCol w:w="1015"/>
        <w:gridCol w:w="893"/>
        <w:gridCol w:w="897"/>
        <w:gridCol w:w="211"/>
        <w:gridCol w:w="826"/>
        <w:gridCol w:w="109"/>
        <w:gridCol w:w="109"/>
        <w:gridCol w:w="109"/>
        <w:gridCol w:w="109"/>
        <w:gridCol w:w="211"/>
        <w:gridCol w:w="721"/>
        <w:gridCol w:w="109"/>
        <w:gridCol w:w="109"/>
        <w:gridCol w:w="109"/>
        <w:gridCol w:w="109"/>
        <w:gridCol w:w="325"/>
        <w:gridCol w:w="1112"/>
        <w:gridCol w:w="168"/>
        <w:gridCol w:w="109"/>
        <w:gridCol w:w="109"/>
        <w:gridCol w:w="109"/>
        <w:gridCol w:w="211"/>
        <w:gridCol w:w="721"/>
        <w:gridCol w:w="109"/>
        <w:gridCol w:w="109"/>
        <w:gridCol w:w="109"/>
        <w:gridCol w:w="109"/>
        <w:gridCol w:w="211"/>
        <w:gridCol w:w="82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Jornay 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Belbuca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Nucynta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Symproic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amortization expense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523,928 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6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669,510 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Accrued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w:t>
      </w:r>
    </w:p>
    <w:tbl>
      <w:tblPr>
        <w:tblW w:w="9128" w:type="dxa"/>
        <w:jc w:val="left"/>
        <w:tblInd w:w="0" w:type="dxa"/>
        <w:tblLayout w:type="fixed"/>
        <w:tblCellMar>
          <w:top w:w="28" w:type="dxa"/>
          <w:left w:w="28" w:type="dxa"/>
          <w:bottom w:w="28" w:type="dxa"/>
          <w:right w:w="28" w:type="dxa"/>
        </w:tblCellMar>
      </w:tblPr>
      <w:tblGrid>
        <w:gridCol w:w="2419"/>
        <w:gridCol w:w="2122"/>
        <w:gridCol w:w="2133"/>
        <w:gridCol w:w="211"/>
        <w:gridCol w:w="721"/>
        <w:gridCol w:w="109"/>
        <w:gridCol w:w="109"/>
        <w:gridCol w:w="109"/>
        <w:gridCol w:w="109"/>
        <w:gridCol w:w="211"/>
        <w:gridCol w:w="721"/>
        <w:gridCol w:w="154"/>
      </w:tblGrid>
      <w:tr>
        <w:trPr/>
        <w:tc>
          <w:tcPr>
            <w:tcW w:w="241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taxes and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incentive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cash-settled share-based awards assumed from Ironshore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audit and legal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 expense related to Ironshore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62,464 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72,124 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face legal claims or actions in the normal course of business. Except as disclosed below, the Company is not currently a party to any material litigation.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Xtampza ER Litigation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March 24, 2015, Purdue sued the Company in the U.S. District Court for the District of Delaware asserting infringement of three of Purdue’s Orange Book-listed patents (Patent Nos. 7,674,799, 7,674,800, and 7,683,072) and a non-Orange Book-listed patent (Patent No. 8,652,497). The lawsuit was initiated in response to the Company filing the New Drug Application (“NDA”) for Xtampza ER as a 505(b)(2) application referencing data from Purdue’s OxyContin NDA, and under the Drug Price Competition and Patent Term Restoration Act of 1984, triggered a stay of up to 30 months before the FDA could issue a final approval for Xtampza ER, unless the stay was earlier terminated.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court transferred the case to the District of Massachusetts. After the Company filed a partial motion for judgment on the pleadings relating to the Orange Book-listed patents, the District Court of Massachusetts ordered judgment in the Company’s favor on those three patents, and dismissed the claims which lifted the 30-month stay of FDA approval. Following this judgment, the Company obtained final approval for Xtampza ER and launched commercially.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Purdue subsequently filed two follow-on lawsuits asserting infringement of two patents that had been late-listed in the Orange Book and, therefore, could not trigger any stay of FDA approval: Purdue asserted infringement of Patent No. 9,073,933 in November 2015 and Patent No. 9,522,919 in April 2017. In addition, Purdue invoked two non-Orange Book-listed patents, filing suit in June 2016 asserting infringement of Patent No. 9,155,717 and in September 2017, asserting infringement of Patent No. 9,693,961.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2018, the Company filed a Petition for Post-Grant Review (“PGR”) of the ʼ961 patent with the Patent Trial and Appeal Board (“PTAB”). The PGR argued that the ʼ961 patent is invalid.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21, 2017, the Court issued its claim construction ruling, construing certain claims of the ʼ933, ʼ497, and ʼ717 patents. The Court issued an order on September 28, 2018, in which it ruled that the Xtampza ER formulation does not infringe the ʼ497 and ʼ717 patents.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15, 2019, Purdue commenced chapter 11 bankruptcy proceedings in the United States Bankruptcy Court for the Southern District of New York. Later in September 2019, Purdue gave the District Court of Massachusetts, as well as the PTAB, notice of its bankruptcy filing and sought the imposition of an automatic stay of proceedings. Both the Court and the PTAB granted Purdue’s requests to stay the pending matters.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1, 2020, the Bankruptcy Court entered an Order, lifting the automatic stays in both the District of Massachusetts and PTAB proceedings. On September 11, 2020, Purdue filed a motion to terminate the PTAB action on the basis that those proceedings had gone beyond the 18-month statutory period. On November 19, 2021, the PTAB: (i) denied Purdue’s motion to terminate the PGR; and (ii) issued its Final Written Decision, finding that the asserted claims of the ʼ961 patent were invalid for lack of written description and anticipation. Purdue appealed the decision to Federal Circuit, which issued its decision on November 21, 2023, affirming the authority of the PTAB to issue its Final Written Decision and upholding the PTAB’s finding of invalidity relative to the ’961 patent.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 2021, the Court granted Purdue’s Motion to Lift the Stay in the District of Massachusetts that was entered following Purdue’s Notice of Bankruptcy. On April 9, 2021, Purdue filed another follow-on lawsuit asserting infringement of U.S. Patent No. 10,407,434. The Company responded to Purdue’s complaint with a motion to dismiss. On May 21, 2021, and in response to the Company’s motion to dismiss, Purdue filed an amended complaint. The Company renewed its motion to dismiss on June 4, 2021, arguing: (i) Purdue cannot, as a matter of law, state a claim for infringement under § 271(e)(2)(A); (ii) Purdue cannot, as a matter of law, state a claim for product-by-process infringement under §271(g); and (iii) Purdue has not alleged facts sufficient to support any indirect infringement theory under §271(b) or (c). The Court held a hearing on the Company’s motion to dismiss on October 13, 2021, and the motion is pending before the Court.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Like the prior follow-on lawsuits, the ’434 patent litigation was consolidated into the lead case and a scheduling order was entered. On May 15, 2023, the Court issued an order that: (i) vacated the existing deadlines with respect to the ʼ933, ʼ919, and ʼ434 patents and stayed the case pending the Federal Circuit’s decision in a different litigation that invalidated certain claims of the ʼ933 and ʼ919 patents; and (ii) continued the existing stay concerning the ʼ961 patent pending resolution of Purdue’s appeal rights relating to the decision invalidating the claims of the ʼ961 patent. The Court has not set a deadline for dispositive motions or trial.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remaining patents-in-suit in the lead consolidated action in the District of Massachusetts are the ʼ933, ʼ919, ʼ434, and ʼ961 patents. Purdue has made a demand for monetary relief, and requested a judgment of infringement, an adjustment of the effective date of FDA approval, and an injunction on the sale of the Company’s products accused of infringement. The Company has denied all claims and has requested a judgment that the remaining asserted patents are invalid and/or not infringed; the Company is also seeking a judgment that the case is exceptional and has requested an award of the Company’s attorneys’ fees for defending the case.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defend this case vigorously. At this stage, the Company is unable to evaluate the likelihood of an unfavorable outcome or estimate the amount or range of potential loss, if any.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Nucynta Litigation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7, 2018, Purdue filed a patent infringement suit against the Company in the U.S. District Court for the District of Delaware, in which it argues that the Company’s sale of immediate-release and extended-release Nucynta infringes U.S. Patent Nos. 9,861,583, 9,867,784, and 9,872,836. On December 6, 2018, the Company filed an Amended Answer asserting an affirmative defense for patent exhaustion. On December 10, 2018, the Court granted the parties’ stipulation for resolution of the Company’s affirmative defense of patent exhaustion and stayed the action, with the exception of briefing on and resolution of the Company’s Motion for Judgment on the Pleadings related to patent exhaustion and any discovery related to that Motion.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Also, on December 10, 2018, the Company filed a Rule 12(c) Motion for Judgment on the Pleadings, arguing that Purdue’s claims were barred by the doctrine of patent exhaustion. On June 19, 2019, the Court issued an order calling for discovery on a factual predicate for the patent exhaustion defense and noted that the case remained “stayed with the exception of discovery and briefing on and resolution of the Company’s anticipated motion for summary judgment based on patent exhaustion.”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September 19, 2019, Purdue notified the Court of its bankruptcy filing and sought an automatic stay of proceedings, which was granted. The Nucynta litigation currently remains subject to the bankruptcy stay.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 2026, Grünenthal GMBH filed a complaint in the United States District Court for the District of New Jersey for patent infringement naming as defendants the Company along with Hikma Pharmaceuticals USA Inc. and Hikma Pharmaceuticals PLC (collectively “Hikma”). The complaint alleges that a future launch of an authorized generic to the Company’s Nucynta ER by Hikma will occur and that such a launch would infringe two patents owned by Grünenthal and licensed by the Company. The complaint further alleges that the Company has or will infringe the patents by contributing to or inducing direct infringement by Hikma. The patents are United States Patent Nos. 8,536,130 and 11,344,512, both listed in the Orange Book for Nucynta ER. Hikma has requested that the Company defend and indemnify Hikma with respect to the complaint.</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licensed the rights to make, sell, and have sold Nucynta ER in the United States from Grünenthal (among other rights) and believes that it has all necessary rights to make and sell the authorized generic product to Hikma.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plans to defend this case vigorously. At this stage, the Company is unable to evaluate the likelihood of an unfavorable outcome or estimate the amount or range of potential loss, if any.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Opioid-Related Request and Subpoenas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like several other pharmaceutical companies, has received subpoenas or civil investigative demands related to opioid sales and marketing practices, from the Offices of the Attorney General of Washington, New Hampshire, Maryland, and Massachusetts.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December 16, 2021, the Company entered into an Assurance of Discontinuance with the Massachusetts Attorney General’s Office. The Company is currently cooperating with each of the remaining states in their respective investigations.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Aquestive Litigation</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22, 2014, Reckitt Benckiser, Inc., Indivior PLC (formerly RB Pharmaceuticals Limited, “Indivior”), and Aquestive Therapeutics, Inc. (formerly MonoSol Rx, “Aquestive”) (collectively, the “RB Plaintiffs”) filed an action in the District Court in the District of New Jersey alleging patent infringement against BDSI related to its Bunavail product. The RB Plaintiffs claimed that Bunavail, whose formulation and manufacturing processes have never been disclosed publicly, infringed U.S. Patent No. 8,765,167 (the “’167 Patent”).</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13, 2017, Aquestive filed a complaint in the District Court for the District of New Jersey against BDSI alleging Belbuca also infringed the ’167 Patent. On March 8, 2023, the parties filed a stipulation of dismissal after agreeing to settle the dispute. Under the terms of the settlement agreement, BDSI resolved both the Bunavail and Belbuca litigations in exchange for a one-time, lump-sum payment of $8,500 to Aquestive, which was recognized as an expense included in selling, general and administrative expenses in the consolidated statements of operations for the year ended December 31, 2023.</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Litigation Related to the BDSI Acquisition</w:t>
      </w:r>
    </w:p>
    <w:p>
      <w:pPr>
        <w:pStyle w:val="TextBody"/>
        <w:bidi w:val="0"/>
        <w:spacing w:lineRule="auto" w:line="288" w:before="0" w:after="200"/>
        <w:jc w:val="left"/>
        <w:rPr/>
      </w:pPr>
      <w:r>
        <w:rPr>
          <w:rFonts w:ascii="Times New Roman;serif" w:hAnsi="Times New Roman;serif"/>
          <w:b w:val="false"/>
          <w:color w:val="000000"/>
          <w:sz w:val="20"/>
          <w:shd w:fill="FFFFFF" w:val="clear"/>
        </w:rPr>
        <w:t>On February 25, 2022, in connection with the BDSI Acquisition, a purported individual stockholder of BDSI filed a complaint in the District Court for the Southern District of New York naming as defendants BDSI and each member of its Board of Directors as of the date of the Merger Agreement (“</w:t>
      </w:r>
      <w:r>
        <w:rPr>
          <w:rFonts w:ascii="Times New Roman;serif" w:hAnsi="Times New Roman;serif"/>
          <w:b w:val="false"/>
          <w:i/>
          <w:color w:val="000000"/>
          <w:sz w:val="20"/>
          <w:shd w:fill="FFFFFF" w:val="clear"/>
        </w:rPr>
        <w:t xml:space="preserve">Stein </w:t>
      </w:r>
      <w:r>
        <w:rPr>
          <w:rFonts w:ascii="Times New Roman;serif" w:hAnsi="Times New Roman;serif"/>
          <w:b w:val="false"/>
          <w:color w:val="000000"/>
          <w:sz w:val="20"/>
          <w:shd w:fill="FFFFFF" w:val="clear"/>
        </w:rPr>
        <w:t xml:space="preserve">Action”). On February 28, 2022,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additional cases were filed by purported individual stockholders of BDSI in the same court: the “</w:t>
      </w:r>
      <w:r>
        <w:rPr>
          <w:rFonts w:ascii="Times New Roman;serif" w:hAnsi="Times New Roman;serif"/>
          <w:b w:val="false"/>
          <w:i/>
          <w:color w:val="000000"/>
          <w:sz w:val="20"/>
          <w:shd w:fill="FFFFFF" w:val="clear"/>
        </w:rPr>
        <w:t xml:space="preserve">Sanford </w:t>
      </w:r>
      <w:r>
        <w:rPr>
          <w:rFonts w:ascii="Times New Roman;serif" w:hAnsi="Times New Roman;serif"/>
          <w:b w:val="false"/>
          <w:color w:val="000000"/>
          <w:sz w:val="20"/>
          <w:shd w:fill="FFFFFF" w:val="clear"/>
        </w:rPr>
        <w:t>Action” and the “</w:t>
      </w:r>
      <w:r>
        <w:rPr>
          <w:rFonts w:ascii="Times New Roman;serif" w:hAnsi="Times New Roman;serif"/>
          <w:b w:val="false"/>
          <w:i/>
          <w:color w:val="000000"/>
          <w:sz w:val="20"/>
          <w:shd w:fill="FFFFFF" w:val="clear"/>
        </w:rPr>
        <w:t xml:space="preserve">Higley </w:t>
      </w:r>
      <w:r>
        <w:rPr>
          <w:rFonts w:ascii="Times New Roman;serif" w:hAnsi="Times New Roman;serif"/>
          <w:b w:val="false"/>
          <w:color w:val="000000"/>
          <w:sz w:val="20"/>
          <w:shd w:fill="FFFFFF" w:val="clear"/>
        </w:rPr>
        <w:t xml:space="preserve">Action.” In March 2022,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additional cases were filed by purported individual stockholders of BDSI in the District Court for the Eastern District of New York: the “</w:t>
      </w:r>
      <w:r>
        <w:rPr>
          <w:rFonts w:ascii="Times New Roman;serif" w:hAnsi="Times New Roman;serif"/>
          <w:b w:val="false"/>
          <w:i/>
          <w:color w:val="000000"/>
          <w:sz w:val="20"/>
          <w:shd w:fill="FFFFFF" w:val="clear"/>
        </w:rPr>
        <w:t xml:space="preserve">Justice </w:t>
      </w:r>
      <w:r>
        <w:rPr>
          <w:rFonts w:ascii="Times New Roman;serif" w:hAnsi="Times New Roman;serif"/>
          <w:b w:val="false"/>
          <w:color w:val="000000"/>
          <w:sz w:val="20"/>
          <w:shd w:fill="FFFFFF" w:val="clear"/>
        </w:rPr>
        <w:t>Action” and the</w:t>
      </w:r>
      <w:r>
        <w:rPr>
          <w:color w:val="000000"/>
          <w:shd w:fill="FFFFFF" w:val="clear"/>
        </w:rPr>
        <w:t xml:space="preserve"> “</w:t>
      </w:r>
      <w:r>
        <w:rPr>
          <w:rFonts w:ascii="Times New Roman;serif" w:hAnsi="Times New Roman;serif"/>
          <w:b w:val="false"/>
          <w:i/>
          <w:color w:val="000000"/>
          <w:sz w:val="20"/>
          <w:shd w:fill="FFFFFF" w:val="clear"/>
        </w:rPr>
        <w:t xml:space="preserve">Zomber </w:t>
      </w:r>
      <w:r>
        <w:rPr>
          <w:rFonts w:ascii="Times New Roman;serif" w:hAnsi="Times New Roman;serif"/>
          <w:b w:val="false"/>
          <w:color w:val="000000"/>
          <w:sz w:val="20"/>
          <w:shd w:fill="FFFFFF" w:val="clear"/>
        </w:rPr>
        <w:t xml:space="preserve">Action” (together with the </w:t>
      </w:r>
      <w:r>
        <w:rPr>
          <w:rFonts w:ascii="Times New Roman;serif" w:hAnsi="Times New Roman;serif"/>
          <w:b w:val="false"/>
          <w:i/>
          <w:color w:val="000000"/>
          <w:sz w:val="20"/>
          <w:shd w:fill="FFFFFF" w:val="clear"/>
        </w:rPr>
        <w:t>Stein</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Sanford</w:t>
      </w:r>
      <w:r>
        <w:rPr>
          <w:rFonts w:ascii="Times New Roman;serif" w:hAnsi="Times New Roman;serif"/>
          <w:b w:val="false"/>
          <w:color w:val="000000"/>
          <w:sz w:val="20"/>
          <w:shd w:fill="FFFFFF" w:val="clear"/>
        </w:rPr>
        <w:t xml:space="preserve">, and </w:t>
      </w:r>
      <w:r>
        <w:rPr>
          <w:rFonts w:ascii="Times New Roman;serif" w:hAnsi="Times New Roman;serif"/>
          <w:b w:val="false"/>
          <w:i/>
          <w:color w:val="000000"/>
          <w:sz w:val="20"/>
          <w:shd w:fill="FFFFFF" w:val="clear"/>
        </w:rPr>
        <w:t xml:space="preserve">Higley </w:t>
      </w:r>
      <w:r>
        <w:rPr>
          <w:rFonts w:ascii="Times New Roman;serif" w:hAnsi="Times New Roman;serif"/>
          <w:b w:val="false"/>
          <w:color w:val="000000"/>
          <w:sz w:val="20"/>
          <w:shd w:fill="FFFFFF" w:val="clear"/>
        </w:rPr>
        <w:t>Actions, the “Actions”). The Actions and any similar subsequently filed cases involving BDSI, its officers or Board of Directors, or any committee thereof, and/or any of the Company’s officers or directors relating directly or indirectly to the Merger Agreement, the BDSI Acquisition or any related transaction, are referred to as the “Merger Litigations.”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Merger Litigations filed to date generally allege that the Schedule 14D-9 is materially incomplete and misleading. The Merger Litigations assert violations of Section 14(e) of the Exchange Act and violations of Section 20(a) of the Exchange Act against BDSI’s Board of Directors. The Merger Litigations seek, among other things: an injunction enjoining consummation of the Merger, rescission of the Merger Agreement, a declaration that BDSI and its Board of Directors violated Sections 14(e) and 20(a) of the Exchange Act and Rule 14a-9 promulgated thereunder, damages, costs of the action, including plaintiffs’ attorneys’ fees and experts’ fees and expenses, and any other relief the court may deem just and proper.</w:t>
      </w:r>
    </w:p>
    <w:p>
      <w:pPr>
        <w:pStyle w:val="TextBody"/>
        <w:bidi w:val="0"/>
        <w:spacing w:lineRule="auto" w:line="288" w:before="0" w:after="200"/>
        <w:jc w:val="left"/>
        <w:rPr/>
      </w:pPr>
      <w:r>
        <w:rPr>
          <w:rFonts w:ascii="Times New Roman;serif" w:hAnsi="Times New Roman;serif"/>
          <w:b w:val="false"/>
          <w:color w:val="000000"/>
          <w:sz w:val="20"/>
        </w:rPr>
        <w:t xml:space="preserve">In addition, between February and March of 2022, BDSI received demand letters from three purported stockholders of BDSI seeking to inspect certain books and records of BDSI related to the Merger (collectively, the “Inspection Letters”). In </w:t>
      </w:r>
      <w:r>
        <w:rPr>
          <w:rFonts w:ascii="Times New Roman;serif" w:hAnsi="Times New Roman;serif"/>
          <w:b w:val="false"/>
          <w:color w:val="000000"/>
          <w:sz w:val="20"/>
          <w:shd w:fill="FFFFFF" w:val="clear"/>
        </w:rPr>
        <w:t>March 2022</w:t>
      </w:r>
      <w:r>
        <w:rPr>
          <w:rFonts w:ascii="Times New Roman;serif" w:hAnsi="Times New Roman;serif"/>
          <w:b w:val="false"/>
          <w:color w:val="000000"/>
          <w:sz w:val="20"/>
        </w:rPr>
        <w:t>, BDSI received demand letters from four purported stockholders alleging that the Schedule 14D-9 omits purportedly material information relating to the Merger (collectively, the “Demand Letters”).</w:t>
      </w:r>
    </w:p>
    <w:p>
      <w:pPr>
        <w:pStyle w:val="TextBody"/>
        <w:bidi w:val="0"/>
        <w:spacing w:lineRule="auto" w:line="288" w:before="0" w:after="200"/>
        <w:jc w:val="left"/>
        <w:rPr/>
      </w:pPr>
      <w:r>
        <w:rPr>
          <w:rFonts w:ascii="Times New Roman;serif" w:hAnsi="Times New Roman;serif"/>
          <w:b w:val="false"/>
          <w:color w:val="000000"/>
          <w:sz w:val="20"/>
        </w:rPr>
        <w:t xml:space="preserve">Plaintiffs in the </w:t>
      </w:r>
      <w:r>
        <w:rPr>
          <w:rFonts w:ascii="Times New Roman;serif" w:hAnsi="Times New Roman;serif"/>
          <w:b w:val="false"/>
          <w:i/>
          <w:color w:val="000000"/>
          <w:sz w:val="20"/>
          <w:shd w:fill="FFFFFF" w:val="clear"/>
        </w:rPr>
        <w:t xml:space="preserve">Higley, Zomber, and Justice </w:t>
      </w:r>
      <w:r>
        <w:rPr>
          <w:rFonts w:ascii="Times New Roman;serif" w:hAnsi="Times New Roman;serif"/>
          <w:b w:val="false"/>
          <w:color w:val="000000"/>
          <w:sz w:val="20"/>
        </w:rPr>
        <w:t xml:space="preserve">Actions each filed a notice of voluntary dismissal of their complaint in the second quarter of 2022. On July 28, 2022, plaintiff in the </w:t>
      </w:r>
      <w:r>
        <w:rPr>
          <w:rFonts w:ascii="Times New Roman;serif" w:hAnsi="Times New Roman;serif"/>
          <w:b w:val="false"/>
          <w:i/>
          <w:color w:val="000000"/>
          <w:sz w:val="20"/>
          <w:shd w:fill="FFFFFF" w:val="clear"/>
        </w:rPr>
        <w:t xml:space="preserve">Sanford </w:t>
      </w:r>
      <w:r>
        <w:rPr>
          <w:rFonts w:ascii="Times New Roman;serif" w:hAnsi="Times New Roman;serif"/>
          <w:b w:val="false"/>
          <w:color w:val="000000"/>
          <w:sz w:val="20"/>
        </w:rPr>
        <w:t xml:space="preserve">Action filed a partial voluntary dismissal of the individual named defendants, and on October 26, 2022, filed a notice of voluntary dismissal of the BDSI defendant. On February 17, 2023, the </w:t>
      </w:r>
      <w:r>
        <w:rPr>
          <w:rFonts w:ascii="Times New Roman;serif" w:hAnsi="Times New Roman;serif"/>
          <w:b w:val="false"/>
          <w:i/>
          <w:color w:val="000000"/>
          <w:sz w:val="20"/>
          <w:shd w:fill="FFFFFF" w:val="clear"/>
        </w:rPr>
        <w:t>Stein</w:t>
      </w:r>
      <w:r>
        <w:rPr>
          <w:color w:val="000000"/>
        </w:rPr>
        <w:t xml:space="preserve"> </w:t>
      </w:r>
      <w:r>
        <w:rPr>
          <w:rFonts w:ascii="Times New Roman;serif" w:hAnsi="Times New Roman;serif"/>
          <w:b w:val="false"/>
          <w:color w:val="000000"/>
          <w:sz w:val="20"/>
        </w:rPr>
        <w:t xml:space="preserve">Action was dismissed. </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BDSI previously determined to voluntarily supplement the Schedule 14D-9 with certain supplemental disclosures set forth in BDSI’s Schedule 14D-9 filed with the SEC on March 11, 2022 (the “Supplemental Disclosures”). The Company and BDSI believe that the Supplemental Disclosures mooted all allegations or concerns raised in the Merger Litigations, Inspection Letters, and Demand Letters. While the Company intends to defend vigorously against the remaining Merger Litigations, Inspection Letters, and Demand Letters, the outcome of such matters is uncertain.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Alvogen</w:t>
      </w:r>
    </w:p>
    <w:p>
      <w:pPr>
        <w:pStyle w:val="TextBody"/>
        <w:bidi w:val="0"/>
        <w:spacing w:lineRule="auto" w:line="288" w:before="0" w:after="200"/>
        <w:jc w:val="left"/>
        <w:rPr/>
      </w:pPr>
      <w:r>
        <w:rPr>
          <w:rFonts w:ascii="Times New Roman;serif" w:hAnsi="Times New Roman;serif"/>
          <w:b w:val="false"/>
          <w:color w:val="000000"/>
          <w:sz w:val="20"/>
        </w:rPr>
        <w:t xml:space="preserve">On September 7, 2018, BDSI filed a complaint for patent infringement in District Court for the District of Delaware against Alvogen Pb Research &amp; Development LLC, Alvogen Malta Operations Ltd., Alvogen Pine Brook LLC, Alvogen, Incorporated, and Alvogen Group, Incorporated (collectively, “Alvogen”), asserting that Alvogen infringed BDSI’s Orange Book-listed patents for Belbuca, including U.S. Patent Nos. 8,147,866, 9,655,843 and 9,901,539 </w:t>
      </w:r>
      <w:r>
        <w:rPr>
          <w:rFonts w:ascii="Times New Roman;serif" w:hAnsi="Times New Roman;serif"/>
          <w:b w:val="false"/>
          <w:color w:val="000000"/>
          <w:sz w:val="20"/>
          <w:shd w:fill="FFFFFF" w:val="clear"/>
        </w:rPr>
        <w:t>(collectively, “the BEMA patents”)</w:t>
      </w:r>
      <w:r>
        <w:rPr>
          <w:rFonts w:ascii="Times New Roman;serif" w:hAnsi="Times New Roman;serif"/>
          <w:b w:val="false"/>
          <w:color w:val="000000"/>
          <w:sz w:val="20"/>
        </w:rPr>
        <w:t xml:space="preserve">. This complaint followed receipt by BDSI on July 30, 2018 of a Paragraph IV Patent Certification from Alvogen stating it had filed an </w:t>
      </w:r>
      <w:r>
        <w:rPr>
          <w:rFonts w:ascii="Times New Roman;serif" w:hAnsi="Times New Roman;serif"/>
          <w:b w:val="false"/>
          <w:color w:val="000000"/>
          <w:sz w:val="20"/>
          <w:shd w:fill="FFFFFF" w:val="clear"/>
        </w:rPr>
        <w:t xml:space="preserve">abbreviated New Drug Application (“ANDA”) </w:t>
      </w:r>
      <w:r>
        <w:rPr>
          <w:rFonts w:ascii="Times New Roman;serif" w:hAnsi="Times New Roman;serif"/>
          <w:b w:val="false"/>
          <w:color w:val="000000"/>
          <w:sz w:val="20"/>
        </w:rPr>
        <w:t xml:space="preserve">with the FDA for a generic version of Belbuca Buccal Film in strengths 75 mcg, 150 mcg, 300 mcg, 450 mcg, 600 mcg, 750 mcg and 900 mcg.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three-day bench trial was held from March 1-3, 2021. On December 20, 2021, the Court issued an opinion upholding the validity of certain claims in BDSI’s ʼ866 patent and certain claims in the ’539 patent. The Court entered final judgment on January 21, 2022 upholding the validity of claims of the ’866 and ’539 patents and thereby extended the effective date of any final approval by the FDA of Alvogen’s ANDA until December 21, 2032, (the expiration date of the ’539 patent) and enjoining Alvogen from commercially launching its ANDA products until December 21, 2032. Alvogen filed a motion to stay certain provisions of the final judgment. BDSI filed an opposition to Alvogen’s request for a stay. The Court retained jurisdiction to decide BDSI’s motion for contempt, which was filed on September 21, 2021.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Alvogen filed a notice of appeal to the Federal Circuit seeking to reverse the Court’s final judgment. Separately, BDSI filed a cross-appeal to the Federal Circuit seeking to reverse the Court’s opinion that claims 3 and 10 of the ʼ866 patent and claims 8, 9 and 20 of the ’843 patent are invalid and thus, Alvogen is not liable for infringement of those claims, as well as any other ruling decided adversely to BDSI. On December 21, 2022, the Federal Circuit affirmed the district court judgment that certain claims of the ʼ866 and ʼ539 patent were not invalid as obvious. The Federal Circuit also vacated the district court’s judgment that certain claims of the ʼ866 and ʼ843 patent were invalid as obvious and remanded to the district court for further proceedings. The mandate issued on February 10, 2023.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Alvogen sent the Company a new notice letter, received on June 9, 2025, claiming that its buprenorphine film products do not infringe the ’539 patent. The letter did not dispute the ’866 patent, which remains valid and infringed by Alvogen until 2027. In response, on July 22,2025, BDSI filed a motion to enforce the January 21, 2022 Final Judgement, concerning Alvogen’s infringement of the ’539 patent. The Court denied this motion on January 12, 2026 on procedural grounds. Additionally, on July 24, 2025, BDSI filed a patent infringement lawsuit based on the new notice letter, triggering a thirty-month stay on FDA approval. The complaint was served on October 20, 2025. A trial date has been set for April 12, 2027. The Company remains firmly committed to defending its intellectual property rights against Alvogen. The Company plans to litigate this case vigorously. At this stage, the Company is unable to evaluate the likelihood of an unfavorable outcome or estimate the amount of potential loss, if any.</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Chemo Research, S.L.</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On March 1, 2019, BDSI filed a complaint for patent infringement in the </w:t>
      </w:r>
      <w:r>
        <w:rPr>
          <w:rFonts w:ascii="Times New Roman;serif" w:hAnsi="Times New Roman;serif"/>
          <w:b w:val="false"/>
          <w:color w:val="000000"/>
          <w:sz w:val="20"/>
        </w:rPr>
        <w:t xml:space="preserve">District Court for the District of </w:t>
      </w:r>
      <w:r>
        <w:rPr>
          <w:rFonts w:ascii="Times New Roman;serif" w:hAnsi="Times New Roman;serif"/>
          <w:b w:val="false"/>
          <w:color w:val="000000"/>
          <w:sz w:val="20"/>
          <w:shd w:fill="FFFFFF" w:val="clear"/>
        </w:rPr>
        <w:t xml:space="preserve">Delaware against Chemo Research, S.L., Insud Pharma S.L., IntelGenx Corp., and IntelGenx Technologies Corp. (collectively, the “Chemo Defendants”), asserting that the Chemo Defendants infringe the BEMA patents. This complaint followed receipt by BDSI on January 31, 2019, of a Notice Letter from Chemo Research S.L. stating that it had filed with the FDA an ANDA containing a Paragraph IV Patent Certification, for a generic version of Belbuca Buccal Film in strengths 75 mcg, 150 mcg, 300 mcg, 450 mcg, and 900 mcg. </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Chemo agreed to be bound by the decision of the Court with respect to the validity of the BEMA patents as disputed between BDSI and Alvogen. Accordingly, the December 20, 2021 ruling of the Court upholding the validity of certain claims of the BEMA patents is binding upon Chemo. In March 2022, the Court vacated the bench trial set to begin April 25, 2022 to address the remaining Chemo infringement claims. The Court has not yet set a new trial date.</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 2022, BDSI received a second Paragraph IV certification notice letter from Chemo indicating it amended its ANDA to: (i) withdraw its generic version of the 75 mcg and 150 mcg strengths of Belbuca; and (ii) include its generic version of the 600 mcg and 750 mcg strengths of Belbuca, in addition to the 300 mcg, 450 mcg, and 900 mcg strengths identified in the first Chemo Paragraph IV certification notice letter. In response, BDSI filed a complaint for patent infringement in Federal District Court for the District of Delaware. Chemo answered the complaint on December 1, 2022. The Court has not yet set a schedule for this litigation.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24, 2022, the Court instructed the parties to update the Court at such time as the FDA addresses Chemo's July 29, 2022, response to the FDA. On February 8, 2023, the Court denied Chemo’s request for a trial date in the spring, and again instructed the parties to update the Court at such time as the FDA addresses Chemo’s July 29, 2022, response to the FDA. Chemo received a complete response letter with respect to its July 29, 2022, ANDA in April 2023. Chemo submitted a further amended ANDA to FDA in September 2023. On May 30, 2024, the parties submitted a Joint Status Report to the Court providing that Chemo received a fourth Complete Response Letter on March 27, 2024. On February 7, 2025, the parties submitted a Joint Status Report to the Court providing that Chemo received a fifth Complete Response Letter in January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plans to litigate this case vigorously. At this stage, the Company is unable to evaluate the likelihood of an unfavorable outcome or estimate the amount or range of potential loss,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it has done in the past, the Company intends to vigorously defend its intellectual property against assertions of invalidity or non-infringement.</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David Lickrish, as legal assignee of North Sound Pharmaceuticals, Inc. (In Official Liquidation)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May 2025, David Lickrish as legal assignee of North Sound Pharmaceuticals &amp; Development, Inc. (“NSP”) filed a Request for Arbitration against Ironshore Pharmaceuticals &amp; Development, Inc. (“IPD”), a wholly owned subsidiary of Ironshore. The claims in the Request are based on allegations that relate to contracts between IPD and NSP and acts that occurred prior to Collegium’s acquisition of Ironshore. Specifically, it is alleged that IPD violated a License and Assignment Agreement with NSP and committed business torts by forcing NSP into liquidation. The Request for Arbitration seeks compensatory damages, estimated to be in excess of $500,000. Collegium’s response to the claims was filed on August 29, 2025. Collegium intends to vigorously defend against the claims. At this stage, the Company is unable to evaluate the likelihood of an unfavorable outcome or estimate the amount of potential loss, if any.</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Walgreen Co. v. Collegium Pharmaceutical, Inc. (Xtampza ER and the Nucynta Products)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Walgreen Co. (“Walgreens”) filed a lawsuit in June 2025 in the United States District Court for the Northern District of Illinois, alleging that Collegium owes more than $14,000 in credits for product returned or attempted to be returned between 2020 and 2023 pursuant to Collegium’s returns policy. Walgreens alleges that the returns policy constitutes a contract between Walgreens and Collegium and seeks to plead claims for breach of contract and, in the alternative, unjust enrichment. Collegium filed a motion to dismiss on August 12, 2025. The Court stayed party discovery pending the outcome of the motion to dismiss but allowed third-party written discovery to commence. On February 18, 2026, the Court granted Collegium’s motion to dismiss for lack of personal jurisdiction and ordered Walgreens to file an amended complaint that cures the jurisdictional defect by March 11, 2026. Collegium has tendered its defense to a third party which has agreed to defend and indemnify Collegium, subject to a reservation of rights. Collegium intends to vigorously defend against the claims. At this stage, the Company is unable to evaluate the likelihood of an unfavorable outcome or estimate the amount of potential loss, if any.</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14. Debt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2022 Term Loan</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On March 22, 2022, in connection with the closing of the BDSI Acquisition, the Company entered into an Amended and Restated Loan Agreement, by and among the Company, </w:t>
      </w:r>
      <w:r>
        <w:rPr>
          <w:rFonts w:ascii="Times New Roman;serif" w:hAnsi="Times New Roman;serif"/>
          <w:b w:val="false"/>
          <w:color w:val="000000"/>
          <w:sz w:val="20"/>
        </w:rPr>
        <w:t xml:space="preserve">BioPharma Credit PLC, as collateral agent, and BioPharma Credit Investments V (Master) LP and BPCR Limited Partnership (investment funds managed by Pharmakon Advisors, LP), as the lenders </w:t>
      </w:r>
      <w:r>
        <w:rPr>
          <w:rFonts w:ascii="Times New Roman;serif" w:hAnsi="Times New Roman;serif"/>
          <w:b w:val="false"/>
          <w:color w:val="000000"/>
          <w:sz w:val="20"/>
          <w:shd w:fill="FFFFFF" w:val="clear"/>
        </w:rPr>
        <w:t>(collectively “Pharmakon”) (the “2022 Loan Agreement”). The 2022 Loan Agreement provided for a $650,000 secured term loan (the “2022 Term Loan”), the proceeds of which were used to repay the Company’s existing term notes outstanding and fund a portion of the consideration to be paid to complete the BDSI Acquisition.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2024 Term Loan</w:t>
      </w:r>
    </w:p>
    <w:p>
      <w:pPr>
        <w:pStyle w:val="TextBody"/>
        <w:bidi w:val="0"/>
        <w:spacing w:lineRule="auto" w:line="288" w:before="0" w:after="200"/>
        <w:jc w:val="left"/>
        <w:rPr/>
      </w:pPr>
      <w:r>
        <w:rPr>
          <w:rFonts w:ascii="Times New Roman;serif" w:hAnsi="Times New Roman;serif"/>
          <w:b w:val="false"/>
          <w:color w:val="000000"/>
          <w:sz w:val="20"/>
        </w:rPr>
        <w:t>On July 28, 2024, in connection with the announcement of the Ironshore Acquisition, the Company entered into a Second Amended and Restated Loan Agreement, by and among the Company and Pharmakon (the “2024 Loan Agreement”), pursuant to which the 2022 Term Loan was refinanced in full. The 2024 Loan Agreement provided for a $645,833 secured term loan (the “2024 Term Loan”), t</w:t>
      </w:r>
      <w:r>
        <w:rPr>
          <w:rFonts w:ascii="Times New Roman;serif" w:hAnsi="Times New Roman;serif"/>
          <w:b w:val="false"/>
          <w:color w:val="000000"/>
          <w:sz w:val="20"/>
          <w:shd w:fill="FFFFFF" w:val="clear"/>
        </w:rPr>
        <w:t>he proceeds of which were used to repay the Company’s existing term notes outstanding from the existing 2022 Term Loan and fund a portion of the consideration to be paid to complete the Ironshore Acquisition. The 2024 Loan Agreement was accounted for as a debt modification an</w:t>
      </w:r>
      <w:r>
        <w:rPr>
          <w:rFonts w:ascii="Times New Roman;serif" w:hAnsi="Times New Roman;serif"/>
          <w:b w:val="false"/>
          <w:color w:val="000000"/>
          <w:sz w:val="20"/>
        </w:rPr>
        <w:t>d transaction fees of $619 were expensed</w:t>
      </w:r>
      <w:r>
        <w:rPr>
          <w:rFonts w:ascii="Times New Roman;serif" w:hAnsi="Times New Roman;serif"/>
          <w:b w:val="false"/>
          <w:color w:val="000000"/>
          <w:sz w:val="20"/>
          <w:shd w:fill="FFFFFF" w:val="clear"/>
        </w:rPr>
        <w:t xml:space="preserve">. In connection with the 2024 Loan Agreement, </w:t>
      </w:r>
      <w:r>
        <w:rPr>
          <w:rFonts w:ascii="Times New Roman;serif" w:hAnsi="Times New Roman;serif"/>
          <w:b w:val="false"/>
          <w:color w:val="000000"/>
          <w:sz w:val="20"/>
        </w:rPr>
        <w:t>the Company paid loan commitment and other fees to the lender of $11,825, which together with preexisting debt issuance costs and note discounts of $4,192 were amortized over the term of the loan using the effective interest rate. The net proceeds of the loan modification were $313,175.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2025 Credit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23, 2025, the Company entered into a Credit Agreement by and among the Company, the lenders from time to time party thereto and Truist Bank, as administrative agent (the “2025 Credit Agreement”). The 2025 Credit Agreement provides for (i) a $580,000 term loan (the “2025 Term Loan”), (ii) $300,000 of delayed draw term loan commitments (the “Delayed Draw Term Loan”), and (iii) a $100,000 revolving credit facility (the “Revolver”) (collectively, the “2025 Credit Facility”). The 2025 Term Loan was used to repay in full the remaining outstanding obligations under the 2024 Term Loan and to pay fees and expenses relating to the entry into the Credit Agreement and the remainder for general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purposes. The 2025 Credit Facility is guaranteed by certain of the Company’s material subsidiaries and secured by substantially all of the assets of the Company and such material subsidiaries.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repayment of the 2024 Term Loan was accounted for as a debt extinguishment. The loss on extinguishment was $15,994, consisting of previously unamortized debt discount and issuance costs of $10,123 and debt extinguishment costs of $5,871.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2025 Credit Facility is scheduled to mature on December 23, 2030. If both (i) the aggregate principal amount outstanding under the 2029 Convertible Notes is more than $50,000 as of November 18, 2028 and (ii) Liquidity (as defined in the 2025 Credit Agreement, which includes cash, cash equivalents, marketable securities, and undrawn Revolver amounts) is less than $350,000 minus any permanent prepayments or repurchases of the 2029 Convertible Notes, then the 2025 Credit Facility will mature on November 18, 2028. The Company is obligated to repay the loans under the 2025 Credit Agreement (i) in scheduled quarterly installments, commencing on March 31, 2026, and (ii) upon certain customary prepayment triggers (subject to customary reinvestment rights). The Company may repay the loans under the 2025 Credit Agreement at its option at any time without premium or penalty.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Credit Facility, the Company paid commitment and other fees to the lenders of $14,378 and incurred debt issuance costs of $719. The $15,097 of debt discounts and issuance costs were then allocated to each of the components of the 2025 Credit Facility proportionally based on commitment amounts, resulting in $8,935 being allocated to the 2025 Term Loan, $4,622 being allocated to the Delayed Draw Term Loan, and $1,540 being allocated to the Revolver. The debt discounts and issuance costs allocated to the 2025 Term Loan were recorded as a direct deduction of the carrying amount of the 2025 Term Loan and are amortized over the term of the loan using the effective interest rate. The debt discounts and issuance costs allocated to the Delayed Draw Term Loan were recorded to other noncurrent assets. When the Delayed Draw Term Loan is issued, a proportionate amount of the capitalized cost will be reclassified as a direct deduction of the carrying amount of the issued Delayed Draw Term Loan. The debt discounts and issuance costs allocated to the Revolver were recorded to other noncurrent assets and amortized the deferred debt issuance costs ratably over the term of the Revolver, regardless of whether there are any outstanding borrowings on the Revolver.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2025 Term Loan, Delayed Draw Term Loan and the Revolver will bear interest at an annual rate equal to the term Secured Overnight Financing Rate (“SOFR”) plus a spread based on the Company’s First Lien Net Leverage Ratio (as defined in the 2025 Credit Agreement) ranging from 2.75% to 3.75%. The Delayed Draw Term Loan and Revolver are also subject to fees on the undrawn amounts of 0.30% to 0.50% per annum.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customary representations, events of default and covenants for a syndicated credit facility. The 2025 Credit Agreement includes quarterly financial covenants, consisting of a first lien secured net leverage ratio maintenance covenant (allowing the Company to net up to $250,000 of unrestricted cash and cash equivalents) and a fixed charge coverage ratio maintenance covenant. The 2025 Credit Agreement also contains certain covenants and obligations that limit the Company’s ability to incur additional indebtedness or liens, make acquisitions or other investments or dispose of assets outside the ordinary course of business, or make restricted payments, among others. Failure to comply with these covenants would constitute an event of default under the 2025 Credit Agreement, notwithstanding the Company’s ability to meet its debt service obligations.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recognized related to the 2025 Credit Facility, 2024 Term Loan, and the 2022 Term Loan during the years ended December 31, 2025, 2024, and 2023:</w:t>
      </w:r>
    </w:p>
    <w:tbl>
      <w:tblPr>
        <w:tblW w:w="6821" w:type="dxa"/>
        <w:jc w:val="left"/>
        <w:tblInd w:w="0" w:type="dxa"/>
        <w:tblLayout w:type="fixed"/>
        <w:tblCellMar>
          <w:top w:w="28" w:type="dxa"/>
          <w:left w:w="28" w:type="dxa"/>
          <w:bottom w:w="28" w:type="dxa"/>
          <w:right w:w="28" w:type="dxa"/>
        </w:tblCellMar>
      </w:tblPr>
      <w:tblGrid>
        <w:gridCol w:w="1085"/>
        <w:gridCol w:w="954"/>
        <w:gridCol w:w="960"/>
        <w:gridCol w:w="211"/>
        <w:gridCol w:w="721"/>
        <w:gridCol w:w="109"/>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interest expense </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effective interest rate on the 2025 Term Loan was 6.9%.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future principal repayments under the 2025 Term Loan are as follows:</w:t>
      </w:r>
    </w:p>
    <w:tbl>
      <w:tblPr>
        <w:tblW w:w="6269" w:type="dxa"/>
        <w:jc w:val="left"/>
        <w:tblInd w:w="0" w:type="dxa"/>
        <w:tblLayout w:type="fixed"/>
        <w:tblCellMar>
          <w:top w:w="28" w:type="dxa"/>
          <w:left w:w="28" w:type="dxa"/>
          <w:bottom w:w="28" w:type="dxa"/>
          <w:right w:w="28" w:type="dxa"/>
        </w:tblCellMar>
      </w:tblPr>
      <w:tblGrid>
        <w:gridCol w:w="1612"/>
        <w:gridCol w:w="1419"/>
        <w:gridCol w:w="1424"/>
        <w:gridCol w:w="321"/>
        <w:gridCol w:w="1259"/>
        <w:gridCol w:w="234"/>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Principal Payments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unamortized discount and issuance costs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issuance costs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term notes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571,112 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2026 Convertible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February 13, 2020, the Company issued 2.625% convertible senior notes due in 2026 (the “2026 Convertible Notes”) in the aggregate principal amount of $143,750, in a public offering registered under the Securities Act of 1933, as amended. The 2026 Convertible Notes were issued in connection with funding the acquisition of the Nucynta Products. Some of the Company’s existing investors participated in the 2026 Convertible Notes offering.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Repurchase of a Portion of the 2026 Convertible Notes in 2023</w:t>
      </w:r>
    </w:p>
    <w:p>
      <w:pPr>
        <w:pStyle w:val="TextBody"/>
        <w:bidi w:val="0"/>
        <w:spacing w:lineRule="auto" w:line="288" w:before="0" w:after="200"/>
        <w:jc w:val="left"/>
        <w:rPr/>
      </w:pPr>
      <w:r>
        <w:rPr>
          <w:rFonts w:ascii="Times New Roman;serif" w:hAnsi="Times New Roman;serif"/>
          <w:b w:val="false"/>
          <w:color w:val="000000"/>
          <w:sz w:val="20"/>
        </w:rPr>
        <w:t>Contemporaneously with the offering of the 2029 Convertible Notes in February 2023 (as described below), the Company entered into separate privately negotiated transactions with certain holders of the 2026 Convertible Notes to repurchase $117,400 aggregate principal amount of the 2026 Convertible Notes for an aggregate of $140,100 of cash, which includes accrued and unpaid interest on the 2026 Convertible Notes to be repurchased. This transaction involved a contemporaneous exchange of cash between the Company and holders of the 2026 Convertible Notes participating in the issuance of the 2029 Convertible Notes. Accordingly, the Company evaluated the transaction for modification or extinguishment accounting in accordance with Accounting Standards Codification Topic 470-50</w:t>
      </w:r>
      <w:r>
        <w:rPr>
          <w:rFonts w:ascii="Times New Roman;serif" w:hAnsi="Times New Roman;serif"/>
          <w:b w:val="false"/>
          <w:i/>
          <w:color w:val="000000"/>
          <w:sz w:val="20"/>
        </w:rPr>
        <w:t>, Debt – Modifications and Extinguishments</w:t>
      </w:r>
      <w:r>
        <w:rPr>
          <w:color w:val="000000"/>
        </w:rPr>
        <w:t xml:space="preserve"> </w:t>
      </w:r>
      <w:r>
        <w:rPr>
          <w:rFonts w:ascii="Times New Roman;serif" w:hAnsi="Times New Roman;serif"/>
          <w:b w:val="false"/>
          <w:color w:val="000000"/>
          <w:sz w:val="20"/>
        </w:rPr>
        <w:t>on a creditor-by-creditor basis depending on whether the exchange was determined to have substantially different terms. The repurchase of the 2026 Convertible Notes and issuance of the 2029 Convertible Notes were deemed to have substantially different terms based on the present value of the cash flows immediately prior to and after the exchange. Therefore, the repurchase of the 2026 Convertible Notes was accounted for as a debt extinguishment. The Company recorded a $23,504 loss on early extinguishment of debt on the consolidated statements of operations during the year ended December 31, 2023, which includes the recognition of previously deferred financing costs of $2,264. The total remaining principal amount outstanding under the 2026 Convertible Notes following the repurchase was $26,350.</w:t>
      </w:r>
    </w:p>
    <w:p>
      <w:pPr>
        <w:pStyle w:val="TextBody"/>
        <w:bidi w:val="0"/>
        <w:spacing w:lineRule="auto" w:line="288" w:before="0" w:after="200"/>
        <w:jc w:val="left"/>
        <w:rPr/>
      </w:pPr>
      <w:r>
        <w:rPr>
          <w:rFonts w:ascii="Times New Roman;serif" w:hAnsi="Times New Roman;serif"/>
          <w:b/>
          <w:i/>
          <w:color w:val="000000"/>
          <w:sz w:val="20"/>
          <w:shd w:fill="FFFFFF" w:val="clear"/>
        </w:rPr>
        <w:t xml:space="preserve">Redemption of Remaining </w:t>
      </w:r>
      <w:r>
        <w:rPr>
          <w:rFonts w:ascii="Times New Roman;serif" w:hAnsi="Times New Roman;serif"/>
          <w:b/>
          <w:i/>
          <w:color w:val="000000"/>
          <w:sz w:val="20"/>
        </w:rPr>
        <w:t>2026</w:t>
      </w:r>
      <w:r>
        <w:rPr>
          <w:color w:val="000000"/>
          <w:shd w:fill="FFFFFF" w:val="clear"/>
        </w:rPr>
        <w:t xml:space="preserve"> </w:t>
      </w:r>
      <w:r>
        <w:rPr>
          <w:rFonts w:ascii="Times New Roman;serif" w:hAnsi="Times New Roman;serif"/>
          <w:b/>
          <w:i/>
          <w:color w:val="000000"/>
          <w:sz w:val="20"/>
          <w:shd w:fill="FFFFFF" w:val="clear"/>
        </w:rPr>
        <w:t>Convertible Notes in 2024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11, 2024, the Company provided notice of redemption for the remaining $26,350 aggregate principal amount of its outstanding 2026 Convertible Notes. The 2026 Convertible Notes were fully redeemed on June 18, 2024. The Company settled all conversions of the 2026 Convertible Notes in cash.</w:t>
      </w:r>
    </w:p>
    <w:p>
      <w:pPr>
        <w:pStyle w:val="TextBody"/>
        <w:bidi w:val="0"/>
        <w:spacing w:lineRule="auto" w:line="288" w:before="0" w:after="200"/>
        <w:jc w:val="left"/>
        <w:rPr/>
      </w:pPr>
      <w:r>
        <w:rPr>
          <w:rFonts w:ascii="Times New Roman;serif" w:hAnsi="Times New Roman;serif"/>
          <w:b w:val="false"/>
          <w:color w:val="000000"/>
          <w:sz w:val="20"/>
        </w:rPr>
        <w:t xml:space="preserve">In accordance with ASC 470-50, </w:t>
      </w:r>
      <w:r>
        <w:rPr>
          <w:rFonts w:ascii="Times New Roman;serif" w:hAnsi="Times New Roman;serif"/>
          <w:b w:val="false"/>
          <w:i/>
          <w:color w:val="000000"/>
          <w:sz w:val="20"/>
        </w:rPr>
        <w:t>Debt – Modifications and Extinguishments,</w:t>
      </w:r>
      <w:r>
        <w:rPr>
          <w:color w:val="000000"/>
        </w:rPr>
        <w:t xml:space="preserve"> </w:t>
      </w:r>
      <w:r>
        <w:rPr>
          <w:rFonts w:ascii="Times New Roman;serif" w:hAnsi="Times New Roman;serif"/>
          <w:b w:val="false"/>
          <w:color w:val="000000"/>
          <w:sz w:val="20"/>
        </w:rPr>
        <w:t>the Company accounted for the redemption of the 2026 Convertible Notes as a debt extinguishment. The Company paid $33,218 to settle the 2026 Convertible Notes, as well as accrued and unpaid interest of $229. The Company recorded a $7,184 loss on extinguishment of debt on the consolidated statements of operations during the year ended December 31, 2024, which includes recognition of previously deferred financing costs of $289 and miscellaneous costs of redemption of $27.</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2029 Convertible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February 10, 2023, the Company issued 2.875% convertible senior notes due in 2029 (the “2029 Convertible Notes”) in the aggregate principal amount of $241,500, in a private offering to qualified institutional buyers pursuant to Section 4(a)(2) and Rule 144A under the Securities Act of 1933, as amended. The 2029 Convertible Notes were issued to finance the concurrent repurchase of a portion of the 2026 Convertible Notes, and the remainder of the net proceeds were used for general corporate purposes. In connection with the issuance of the 2029 Convertible Notes, the Company incurred approximately $6,280 of debt issuance costs, which primarily consisted of underwriting, legal and other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2029 Convertible Notes are senior, unsecured obligations and bear interest at a rate of 2.875% per year payable semi-annually in arrears on February 15 and August 15 of each year, beginning on August 15, 2023. The 2029 Convertible Notes will mature on February 15, 2029, unless earlier repurchased, redeemed or converted. Before November 15, 2028, noteholders will have the right to convert their notes only upon the occurrence of certain events. From and after November 15, 2028, noteholders may convert their notes at any time at their election until the close of business on the scheduled trading day immediately before the maturity date. The Company will settle conversions by paying or delivering, as applicable, cash, shares of the Company’s common stock or a combination of cash and shares of the Company’s common stock, at the Company’s election. The initial conversion rate is 27.3553 shares of common stock per $1 principal amount of 2029 Convertible Notes, which represents an initial conversion price of approximately $36.56 per share of common stock. The conversion rate and conversion price are subject to adjustment upon the occurrence of certain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the 2029 Convertible Notes may convert all or any portion of their 2029 Convertible Notes, in multiples of $1 principal amount, at their option only under the following circumstances: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any calendar quarter commencing after the calendar quarter ending on June 30, 2023, if the last reported sale price per share of the Company’s common stock exceeds 130% of the conversion price for at least 20 trading days during the 30 consecutive trading days ending on, and including, the last trading day of the immediately preceding calendar quarter;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(2)during the five consecutive business days immediately after any 10 consecutive trading day period (such 10 consecutive trading day period, the “measurement period”) in which the “trading price” per $1 principal amount of the 2029 Convertible Notes for each trading day of the measurement period was less than 98% of the product of the last reported sale price per share of the Company’s common stock on such trading day and the conversion rate on such trading day;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(3)upon the occurrence of certain corporate events or distributions on the Company’s common stock;</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(4)if the Company calls any or all of the 2029 Convertible Notes for redemption, but only with respect to the 2029 Convertible Notes called for redemption; or</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any time from, and including, November 15, 2028 until the close of business on the scheduled trading day immediately before the maturity date.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none of the above circumstances had occurred and as such, the 2029 Convertible Notes could not have been converted. </w:t>
      </w:r>
    </w:p>
    <w:p>
      <w:pPr>
        <w:pStyle w:val="TextBody"/>
        <w:bidi w:val="0"/>
        <w:spacing w:lineRule="auto" w:line="288" w:before="0" w:after="200"/>
        <w:jc w:val="left"/>
        <w:rPr/>
      </w:pPr>
      <w:r>
        <w:rPr>
          <w:rFonts w:ascii="Times New Roman;serif" w:hAnsi="Times New Roman;serif"/>
          <w:b w:val="false"/>
          <w:color w:val="000000"/>
          <w:sz w:val="20"/>
        </w:rPr>
        <w:t>The Company may not redeem the 2029 Convertible Notes prior to February 17, 2026. On or after February 17, 2026 and on or before the 40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scheduled trading day before the maturity date, the Company may redeem the 2029 Convertible Notes, in whole or in part, at a cash redemption price equal to the principal amount of the 2029 Convertible Notes to be redeemed, plus accrued and unpaid interest, if any, only if the last reported sale price per share of the Company’s common stock exceeds 130% of the conversion price 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(1)each of at least 20 trading days, whether or not consecutive, during the 30 consecutive trading days ending on, and including, the trading day immediately before the date the Company sends the related redemption notice; and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trading day immediately before the date the Company sends such notice.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However, the Company may not redeem less than all of the outstanding 2029 Convertible Notes unless at least $75,000 aggregate principal amount of the 2029 Convertible Notes are outstanding and not called for redemption as of the time the Company sends the related redemption notice.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Calling any 2029 Convertible Note for redemption will constitute a make-whole fundamental change with respect to that 2029 Convertible Note, in which case the conversion rate applicable to the conversion of that 2029 Convertible Note, if it is converted in connection with the redemption, will be increased in certain circumstances for a specified period of time.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2029 Convertible Notes have customary default provisions, including: (i) a default in the payment when due (whether at maturity, upon redemption or repurchase upon fundamental change or otherwise) of the principal of, or the redemption price or fundamental change repurchase price for, any note; (ii) a default for 30 days in the payment when due of interest on any note; (iii) a default in the Company’s obligation to convert a note in accordance with the indenture, if such default is not cured within 3 business days after its occurrence; (iv) a default with respect to the Company’s obligations under the indenture related to consolidations, mergers and asset sales; (v) a default in any of the Company’s other obligations or agreements under the indenture that are not cured or waived within 60 days after notice to the Company; (vi) certain payment defaults by the Company or certain subsidiaries with respect to mortgages, agreements or other instruments for indebtedness for money borrowed of at least $30,000 or other defaults by the Company or certain subsidiaries with respect to such indebtedness that result in the acceleration of such indebtedness; (vii) default upon the occurrence of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final judgments being rendered against the Company or any of the Company’s significant subsidiaries for the payment of at least $30,000; and (xiii) upon the occurrence of certain events of bankruptcy, insolvency and reorganization with respect to the Company or any of its significant subsidiaries.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2029 Convertible Notes are classified on the consolidated balance sheets as of December 31, 2025 as convertible 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convertible senior notes outstanding consisted of the following: </w:t>
      </w:r>
    </w:p>
    <w:tbl>
      <w:tblPr>
        <w:tblW w:w="4918" w:type="dxa"/>
        <w:jc w:val="left"/>
        <w:tblInd w:w="0" w:type="dxa"/>
        <w:tblLayout w:type="fixed"/>
        <w:tblCellMar>
          <w:top w:w="28" w:type="dxa"/>
          <w:left w:w="28" w:type="dxa"/>
          <w:bottom w:w="28" w:type="dxa"/>
          <w:right w:w="28" w:type="dxa"/>
        </w:tblCellMar>
      </w:tblPr>
      <w:tblGrid>
        <w:gridCol w:w="1010"/>
        <w:gridCol w:w="886"/>
        <w:gridCol w:w="893"/>
        <w:gridCol w:w="377"/>
        <w:gridCol w:w="1477"/>
        <w:gridCol w:w="275"/>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2029 Convertible Notes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241,500 </w:t>
            </w:r>
          </w:p>
        </w:tc>
        <w:tc>
          <w:tcPr>
            <w:tcW w:w="27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238,213 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expected life of the 2029 Convertible Notes was equal to the six-year term. The effective interest rate on the 2029 Convertible Notes is 3.28%. As of December 31, 2025, the if-converted value exceeded the remaining principal amount of the 2029 Convertible Notes.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recognized related to the 2026 Convertible Notes and 2029 Convertible Notes during the years ended December 31, 2025, 2024, and 2023:</w:t>
      </w:r>
    </w:p>
    <w:tbl>
      <w:tblPr>
        <w:tblW w:w="6506" w:type="dxa"/>
        <w:jc w:val="left"/>
        <w:tblInd w:w="0" w:type="dxa"/>
        <w:tblLayout w:type="fixed"/>
        <w:tblCellMar>
          <w:top w:w="28" w:type="dxa"/>
          <w:left w:w="28" w:type="dxa"/>
          <w:bottom w:w="28" w:type="dxa"/>
          <w:right w:w="28" w:type="dxa"/>
        </w:tblCellMar>
      </w:tblPr>
      <w:tblGrid>
        <w:gridCol w:w="1085"/>
        <w:gridCol w:w="954"/>
        <w:gridCol w:w="960"/>
        <w:gridCol w:w="211"/>
        <w:gridCol w:w="616"/>
        <w:gridCol w:w="109"/>
        <w:gridCol w:w="109"/>
        <w:gridCol w:w="109"/>
        <w:gridCol w:w="10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interest expense </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future minimum payments on the 2029 Convertible Notes were as follows:</w:t>
      </w:r>
    </w:p>
    <w:tbl>
      <w:tblPr>
        <w:tblW w:w="4949" w:type="dxa"/>
        <w:jc w:val="left"/>
        <w:tblInd w:w="0" w:type="dxa"/>
        <w:tblLayout w:type="fixed"/>
        <w:tblCellMar>
          <w:top w:w="28" w:type="dxa"/>
          <w:left w:w="28" w:type="dxa"/>
          <w:bottom w:w="28" w:type="dxa"/>
          <w:right w:w="28" w:type="dxa"/>
        </w:tblCellMar>
      </w:tblPr>
      <w:tblGrid>
        <w:gridCol w:w="1020"/>
        <w:gridCol w:w="898"/>
        <w:gridCol w:w="902"/>
        <w:gridCol w:w="377"/>
        <w:gridCol w:w="1477"/>
        <w:gridCol w:w="275"/>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2029 Convertible Notes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27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244,972 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minimum payments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265,801 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interest </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carrying value</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238,213 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15. Deferred Royalty Obligation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deferred royalty obligation is a debt obligation of Ironshore that was assumed as part of the Ironshore Acquisition. The deferred royalty obligation relates to royalty payments on net sales of Jornay PM that are paid to former Ironshore debtholders in exchange for funding provided to Ironshore. The royalty rate was 7.4% for net sales prior to July 1, 2025 and 9.7% thereafter through March 2032. The royalty payments are an unsecured obligation of the Company and there are no financial covenants or other restrictive covenants. The royalty payments are due semi-annually in February and August of each year based on the sales of Jornay PM in the prior six-month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effective interest rate as of December 31, 2025 was approximately 11.8%.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rollforward of the deferred royalty obligation is as follows:</w:t>
      </w:r>
    </w:p>
    <w:tbl>
      <w:tblPr>
        <w:tblW w:w="6105" w:type="dxa"/>
        <w:jc w:val="left"/>
        <w:tblInd w:w="0" w:type="dxa"/>
        <w:tblLayout w:type="fixed"/>
        <w:tblCellMar>
          <w:top w:w="28" w:type="dxa"/>
          <w:left w:w="28" w:type="dxa"/>
          <w:bottom w:w="28" w:type="dxa"/>
          <w:right w:w="28" w:type="dxa"/>
        </w:tblCellMar>
      </w:tblPr>
      <w:tblGrid>
        <w:gridCol w:w="1275"/>
        <w:gridCol w:w="1123"/>
        <w:gridCol w:w="1127"/>
        <w:gridCol w:w="457"/>
        <w:gridCol w:w="1790"/>
        <w:gridCol w:w="333"/>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Deferred Royalty Obligation</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balance as of September 3, 2024</w:t>
            </w:r>
          </w:p>
        </w:tc>
        <w:tc>
          <w:tcPr>
            <w:tcW w:w="4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116,900 </w:t>
            </w:r>
          </w:p>
        </w:tc>
        <w:tc>
          <w:tcPr>
            <w:tcW w:w="3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120,613 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121,563 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total interest expense recognized related to the deferred royalty obligation during years ended December 31, 2025 and 2024 was $14,573 and $5,795, respectively. Total royalty payments made under the agreement during the year ended December 31, 2025 were $8,582 and were recorded as a reduction to accrued interest. The Company did not make any royalty payments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Leases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Operating Lease Arrangements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operating lease arrangements primarily consist of leases for office space, including the lease for its corporate headquarters in Stoughton, Massachusetts (the “Stoughton Lease”).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Stoughton Lease was entered into in March 2018 and commenced in August 2018. This lease encompasses approximately 50,678 square feet and is for an initial 10-year term, with options for two additional five-year extensions. The initial annual base rent is $1,214, subject to annual increases between 2.5% to 3.1%. As of December 31, 2025, the operating lease asset related to the Stoughton Lease was $4,166 and operating lease liability related to the Stoughton Lease was $5,011.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Ironshore Acquisition, the Company acquired an operating lease for the former U.S. headquarters of Ironshore pursuant to which the Company leases 8,817 of rentable square feet of space in Durham, North Carolina (the “Ironshore Lease”). The Ironshore Lease continues through February 2028. In the year ended December 31, 2025, the Company concluded that the right-of-use asset associated with the Ironshore Lease was impaired, and the Company recognized an impairment expense of $575 within selling, operating and administrative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operating lease assets totaled $4,187 and $5,822, respectively, and operating lease liabilities totaled $5,539 and $6,810, respectively. This primarily relates to the Company’s corporate headquarters lease in Stoughton, Massachusetts and the Ironshore Lease.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Short-Term Lease Arrangements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began entering into 12-month, non-cancelable vehicle leases for its field-based employees. Each vehicle lease is executed separately and expires at varying times with automatic renewal options that are cancelable at any time. The rent expense for these leases is recognized on a straight-line basis over the lease term in the period in which it is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Variable Lease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Variable lease costs primarily include utilities, property taxes, and other operating costs that are passed on from the lessor.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for the years ended December 31, 2025, 2024, and 2023 are as follows:</w:t>
      </w:r>
    </w:p>
    <w:tbl>
      <w:tblPr>
        <w:tblW w:w="5306"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lease term and discount rate for operating leases for the years ended December 31, 2025 and 2024 are as follows:</w:t>
      </w:r>
    </w:p>
    <w:tbl>
      <w:tblPr>
        <w:tblW w:w="7933" w:type="dxa"/>
        <w:jc w:val="left"/>
        <w:tblInd w:w="0" w:type="dxa"/>
        <w:tblLayout w:type="fixed"/>
        <w:tblCellMar>
          <w:top w:w="28" w:type="dxa"/>
          <w:left w:w="28" w:type="dxa"/>
          <w:bottom w:w="28" w:type="dxa"/>
          <w:right w:w="28" w:type="dxa"/>
        </w:tblCellMar>
      </w:tblPr>
      <w:tblGrid>
        <w:gridCol w:w="1995"/>
        <w:gridCol w:w="1751"/>
        <w:gridCol w:w="1758"/>
        <w:gridCol w:w="196"/>
        <w:gridCol w:w="196"/>
        <w:gridCol w:w="488"/>
        <w:gridCol w:w="196"/>
        <w:gridCol w:w="196"/>
        <w:gridCol w:w="196"/>
        <w:gridCol w:w="196"/>
        <w:gridCol w:w="196"/>
        <w:gridCol w:w="569"/>
      </w:tblGrid>
      <w:tr>
        <w:trPr/>
        <w:tc>
          <w:tcPr>
            <w:tcW w:w="199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 (years)</w:t>
            </w:r>
          </w:p>
        </w:tc>
        <w:tc>
          <w:tcPr>
            <w:tcW w:w="8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leases for the years ended December 31, 2025, 2024, and 2023 is as follows:</w:t>
      </w:r>
    </w:p>
    <w:tbl>
      <w:tblPr>
        <w:tblW w:w="10205" w:type="dxa"/>
        <w:jc w:val="left"/>
        <w:tblInd w:w="0" w:type="dxa"/>
        <w:tblLayout w:type="fixed"/>
        <w:tblCellMar>
          <w:top w:w="28" w:type="dxa"/>
          <w:left w:w="28" w:type="dxa"/>
          <w:bottom w:w="28" w:type="dxa"/>
          <w:right w:w="28" w:type="dxa"/>
        </w:tblCellMar>
      </w:tblPr>
      <w:tblGrid>
        <w:gridCol w:w="2428"/>
        <w:gridCol w:w="2129"/>
        <w:gridCol w:w="2140"/>
        <w:gridCol w:w="211"/>
        <w:gridCol w:w="616"/>
        <w:gridCol w:w="109"/>
        <w:gridCol w:w="109"/>
        <w:gridCol w:w="109"/>
        <w:gridCol w:w="109"/>
        <w:gridCol w:w="211"/>
        <w:gridCol w:w="616"/>
        <w:gridCol w:w="109"/>
        <w:gridCol w:w="109"/>
        <w:gridCol w:w="109"/>
        <w:gridCol w:w="109"/>
        <w:gridCol w:w="211"/>
        <w:gridCol w:w="616"/>
        <w:gridCol w:w="155"/>
      </w:tblGrid>
      <w:tr>
        <w:trPr/>
        <w:tc>
          <w:tcPr>
            <w:tcW w:w="2428"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leases liabilities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aggregate future minimum lease payments for its operating leases, including embedded operating lease arrangements, as of December 31, 2025, are as follows:</w:t>
      </w:r>
    </w:p>
    <w:tbl>
      <w:tblPr>
        <w:tblW w:w="4199" w:type="dxa"/>
        <w:jc w:val="left"/>
        <w:tblInd w:w="0" w:type="dxa"/>
        <w:tblLayout w:type="fixed"/>
        <w:tblCellMar>
          <w:top w:w="28" w:type="dxa"/>
          <w:left w:w="28" w:type="dxa"/>
          <w:bottom w:w="28" w:type="dxa"/>
          <w:right w:w="28" w:type="dxa"/>
        </w:tblCellMar>
      </w:tblPr>
      <w:tblGrid>
        <w:gridCol w:w="971"/>
        <w:gridCol w:w="855"/>
        <w:gridCol w:w="859"/>
        <w:gridCol w:w="326"/>
        <w:gridCol w:w="951"/>
        <w:gridCol w:w="237"/>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Years ended December 31,</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Lease Payments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2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2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17. Equity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May 2015, the Company adopted the Amended and Restated 2014 Stock Incentive Plan (the “Plan”), under which an aggregate of 2,700,000 shares of common stock were authorized for issuance to employees, officers, directors, consultants and advisors of the Company, plus an annual increase on the first day of each fiscal year until the expiration of the Plan equal to 4% of the total number of outstanding shares of common stock on December 31st of the immediately preceding calendar year (or a lower amount as otherwise determined by the Company’s Board of Directors prior to January 1st). The Plan expired on May 11, 2025 and on May 15, 2025, the Company’s shareholders approved the 2025 Equity Incentive Plan (the “2025 Plan”), under which an aggregate of 1,600,000 shares of common stock were authorized for issuance to employees, officers, directors, consultants and advisors of the Company, plus (i) shares of common stock that remained available for grants under the Plan as of its expiration and (ii) any shares of common stock subject to outstanding grants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pPr>
      <w:r>
        <w:rPr>
          <w:rFonts w:ascii="Times New Roman;serif" w:hAnsi="Times New Roman;serif"/>
          <w:b w:val="false"/>
          <w:color w:val="000000"/>
          <w:sz w:val="20"/>
        </w:rPr>
        <w:t xml:space="preserve">under the Plan that terminate, expire or are canceled, forfeited, exchanged or surrendered without having been exercised, vested or paid under the Plan. As of December 31, 2025, there were 3,398,762 shares of common stock available for issuance pursuant to the 2025 Plan. The 2025 Plan provides for granting of both Internal Revenue Service qualified incentive stock options and non-qualified options, restricted stock awards, restricted stock units and performance stock units. The Company’s qualified incentive stock options and non-qualified options generally vest ratably over a four-year period of service and generally have a ten-year contractual life. Upon termination, vested stock options are generally exercisable for three months following the termination date, while unvested options are forfeited immediately upon termination. The Company’s RSUs granted prior to 2024 generally vest ratably over a four-year period of service. Beginning in 2024, RSUs granted by the Company vest ratably over a three-year period of service. Upon termination, unvested RSUs are forfeited immediately. Refer to Note 18, </w:t>
      </w:r>
      <w:r>
        <w:rPr>
          <w:rFonts w:ascii="Times New Roman;serif" w:hAnsi="Times New Roman;serif"/>
          <w:b w:val="false"/>
          <w:i/>
          <w:color w:val="000000"/>
          <w:sz w:val="20"/>
        </w:rPr>
        <w:t>Stock-based Compensation</w:t>
      </w:r>
      <w:r>
        <w:rPr>
          <w:rFonts w:ascii="Times New Roman;serif" w:hAnsi="Times New Roman;serif"/>
          <w:b w:val="false"/>
          <w:color w:val="000000"/>
          <w:sz w:val="20"/>
        </w:rPr>
        <w:t>, for more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2023 Repurchase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January 2023, the Company’s Board of Directors authorized the repurchase of up to $100,000 of shares of its common stock at any time or times through December 31, 2023 (the “2023 Repurchase Program”). The 2023 Repurchase Program permitted the Company to effect repurchases through a variety of methods, including open-market purchases (including pursuant to a trading plan adopted in accordance with Rule 10b5-1 of the Exchange Act), privately negotiated transactions, or otherwise in compliance with Rule 10b-18 of the Exchange Act.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July 2023, the Company’s Board of Directors authorized an ASR program to repurchase $50,000 of the Company’s common stock, as part of the Company’s $100,000 2023 Repurchase Program. Under the terms of the Company's ASR agreement with an investment bank, the Company paid $50,000 on August 7, 2023, and received 1,702,852 shares, representing 80% of the upfront payment on a price per share of $23.49, the closing price on the date the agreement was executed. The remaining shares purchased by the Company were based on the volume-weighted average price of its common stock through October 31, 2023, minus an agreed upon discount between the parties. In October 2023, the ASR agreement settled and the Company received an additional 462,442 shares, bringing the total shares repurchased pursuant to the ASR agreement to 2,165,294.</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Company’s Board of Directors authorized a second ASR program as part of the Company’s $100,000 2023 Repurchase Program to repurchase $25,000 of the Company’s common stock. Under the terms of the Company's ASR agreement with an investment bank, the Company paid $25,000 on November 9, 2023, and received 865,426 shares, representing 80% of the upfront payment on a price per share of $23.11, the closing price on the date the agreement was executed. The remaining shares purchased by the Company were based on the volume-weighted average price of its common stock through December 29, 2023, minus an agreed upon discount between the parties. In December 2023, the ASR agreement settled and the Company received an additional 57,349 shares, bringing the total shares repurchased pursuant to the ASR agreement to 922,775.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Each ASR agreement was accounted for as two distinct transactions: (1) an immediate repurchase of common stock, recorded as a treasury stock transaction, and (2) a forward contract indexed to the Company’s own stock. The forward contracts, which represented the remaining shares to be delivered by the investment bank, were recorded as a reduction to stockholders’ equity. Both forward contracts associated with these ASR agreements were settled and not outstanding as of December 31, 2023.</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2023 Repurchase Program expired on December 31, 2023. Through December 31, 2023, the Company repurchased 3,088,069 shares at a weighted-average price of $24.29 per share for a total of $75,000 under the 2023 Repurchase Program. Repurchased shares were returned to the Company’s pool of authorized but unissued shares. The cost of repurchased shares were recorded as treasury stock in the consolidated balance sheet. Shares repurchased under the 2023 Repurchase Program resulted in an immediate reduction of shares outstanding used to calculate the weighted-average common shares outstanding for both basic and diluted earnings per share. As the Company was entitled to receive additional shares of its common stock in connection with the outstanding forward contracts, the receipt of additional shares of common stock was antidilutive. Therefore, no adjustments were made in the computation of earnings per share for the period the forwards were outstanding.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2024-2025 Repurchase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Company’s Board of Directors authorized the repurchase of up to $150,000 of the Company’s common stock through June 30, 2025 (the “2024-2025 Repurchase Program”). The 2024-2025 Repurchase Program permitted the Company to effect repurchases through a variety of methods, including open-market purchases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a trading plan adopted in accordance with Rule 10b5-1 of the Exchange Act), privately negotiated transactions, or otherwise in compliance with Rule 10b-18 of the Exchange Act. The timing and amount of any shares purchased on the open market were determined based on the Company’s evaluation of the market conditions, share price and other factors. The Company utilized existing cash on hand to fund share repurchases.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May 2024, the Company’s Board of Directors authorized an ASR program to repurchase $35,000 of the Company’s common stock, as part of the 2024-2025 Repurchase Program. Under the terms of the Company’s ASR agreement with an investment bank, the Company paid $35,000 on May 13, 2024, and received 888,889 shares, representing 80% of the upfront payment on a price per share of $31.50, the closing price on the date the agreement was executed. The remaining shares purchased by the Company were based on the volume-weighted average price of its common stock through July 31, 2024, minus an agreed upon discount between the parties. In July 2024, the ASR agreement settled and the Company received an additional 173,659 shares, bringing the total shares repurchased pursuant to the ASR agreement to 1,062,548.</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May 2025, the Company’s Board of Directors authorized an ASR program to repurchase $25,000 of the Company’s common stock as part of the 2024-2025 Repurchase Program. Under the terms of the Company's ASR agreement with an investment bank, the Company paid $25,000 on May 9, 2025, and received 692,281 shares, representing 80% of the upfront payment on a price per share of $28.89, the closing price on the date the agreement was executed. The remaining shares to be purchased by the Company was to be based on the volume-weighted average price of its common stock through July 29, 2025, minus an agreed upon discount between the parties. In July 2025, the ASR agreement settled and the Company received an additional 129,847 shares, bringing the total shares repurchased pursuant to the ASR agreement to 822,128.</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ASR agreement was accounted for as two distinct transactions: (1) an immediate repurchase of common stock, recorded as a treasury stock transaction; and (2) a forward contract indexed to the Company’s own stock. The forward contracts, which represented the remaining shares to be delivered by the investment bank, were recorded as a reduction to stockholders’ equity. Both forward contracts associated with this ASR agreement were settled and not outstanding as of December 31,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2024-2025 Repurchase Program expired on June 30, 2025. Under the 2024-2025 Repurchase Program, the Company repurchased 2,704,830 shares at a weighted-average price of $31.43 per share for a total of $85,025, inclusive of $25 of fees and commissions, under the 2024-2025 Repurchase Program and the cost of repurchased shares was recorded as treasury stock in the consolidated balance sheet.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2025-2026 Repurchase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July 2025, the Company’s Board of Directors authorized the repurchase of up to $150,000 of the Company’s common stock through December 31, 2026 (the “2025-2026 Repurchase Program”). The 2025-2026 Repurchase Program permits the Company to effect repurchases through a variety of methods, including open-market purchases (including pursuant to a trading plan adopted in accordance with Rule 10b5-1 of the Exchange Act), privately negotiated transactions, or otherwise in compliance with Rule 10b-18 of the Exchange Act. The timing and amount of any shares purchased on the open market will be determined based on the Company’s evaluation of the market conditions, share price and other factors. The Company plans to utilize existing cash on hand to fund share repurchases.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not yet repurchased shares under the 2025-2026 Repurchase Program. Thus, $150,000 remained available for share repurchases under the 2025-2026 Repurchase Program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Performance Share Units, Restricted Stock Units and Stock Options </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Performance Share Units</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periodically grants PSUs to certain members of the Company's senior management team. PSUs vest subject to the satisfaction of annual and cumulative performance and/or market conditions established by the Compensation Committee. </w:t>
      </w:r>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Beginning in February 2020 and each year thereafter, the Company granted PSUs with performance criteria related to the relative ranking of the total stockholder return (“TSR”) of the Company’s common stock for each individual year within a three-year performance period as well as the cumulative three-year performance period return relative to the TSR of certain peer companies within the S&amp;P Pharmaceutical Select Industry Index. TSR will be measured based on the 30-day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stock price on the first day of each period compared to the 30-day average stock price on the last day of each period. The PSUs subject to the annual performance criteria will vest annually, subject to the satisfaction of the performance criteria and the executive’s continued employment through the performance period. The cumulative PSUs will vest following the three-year performance period,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PSUs activity for the year ended December 31, 2025 and related information is as follows:</w:t>
      </w:r>
    </w:p>
    <w:tbl>
      <w:tblPr>
        <w:tblW w:w="6445" w:type="dxa"/>
        <w:jc w:val="left"/>
        <w:tblInd w:w="0" w:type="dxa"/>
        <w:tblLayout w:type="fixed"/>
        <w:tblCellMar>
          <w:top w:w="28" w:type="dxa"/>
          <w:left w:w="28" w:type="dxa"/>
          <w:bottom w:w="28" w:type="dxa"/>
          <w:right w:w="28" w:type="dxa"/>
        </w:tblCellMar>
      </w:tblPr>
      <w:tblGrid>
        <w:gridCol w:w="1147"/>
        <w:gridCol w:w="1006"/>
        <w:gridCol w:w="1012"/>
        <w:gridCol w:w="297"/>
        <w:gridCol w:w="297"/>
        <w:gridCol w:w="305"/>
        <w:gridCol w:w="109"/>
        <w:gridCol w:w="109"/>
        <w:gridCol w:w="109"/>
        <w:gridCol w:w="441"/>
        <w:gridCol w:w="1290"/>
        <w:gridCol w:w="323"/>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adjustment</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99"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3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shd w:fill="FFFFFF" w:val="clear"/>
        </w:rPr>
        <w:t xml:space="preserve">The number of PSUs awarded represents the target number of shares of common stock that may be earned; however, the actual number of shares earned may vary based on the satisfaction of performance criteria. The weighted-average grant date fair value of PSUs granted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2024, and 2023 was $40.28, $44.15, and $38.71, respectively. The total fair value of PSUs vested (measured on the date of vesting) 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2024, and 2023 was $4,925, $17,433, and $5,970, respectively.</w:t>
      </w:r>
    </w:p>
    <w:p>
      <w:pPr>
        <w:pStyle w:val="TextBody"/>
        <w:bidi w:val="0"/>
        <w:spacing w:lineRule="auto" w:line="288" w:before="0" w:after="200"/>
        <w:jc w:val="left"/>
        <w:rPr/>
      </w:pPr>
      <w:r>
        <w:rPr>
          <w:rFonts w:ascii="Times New Roman;serif" w:hAnsi="Times New Roman;serif"/>
          <w:b w:val="false"/>
          <w:color w:val="000000"/>
          <w:sz w:val="20"/>
          <w:shd w:fill="FFFFFF" w:val="clear"/>
        </w:rPr>
        <w:t xml:space="preserve">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2024, and 2023, the stock-based compensation expense for PSUs was $6,040, $5,037, and $7,037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unrecognized compensation cost related to performance share units was $5,412 and is expected to be recognized as expense over approximately 1.7 years. </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RSUs activity for the year ended December 31, 2025 and related information is as follows:</w:t>
      </w:r>
    </w:p>
    <w:tbl>
      <w:tblPr>
        <w:tblW w:w="6595" w:type="dxa"/>
        <w:jc w:val="left"/>
        <w:tblInd w:w="0" w:type="dxa"/>
        <w:tblLayout w:type="fixed"/>
        <w:tblCellMar>
          <w:top w:w="28" w:type="dxa"/>
          <w:left w:w="28" w:type="dxa"/>
          <w:bottom w:w="28" w:type="dxa"/>
          <w:right w:w="28" w:type="dxa"/>
        </w:tblCellMar>
      </w:tblPr>
      <w:tblGrid>
        <w:gridCol w:w="1147"/>
        <w:gridCol w:w="1006"/>
        <w:gridCol w:w="1012"/>
        <w:gridCol w:w="347"/>
        <w:gridCol w:w="347"/>
        <w:gridCol w:w="355"/>
        <w:gridCol w:w="109"/>
        <w:gridCol w:w="109"/>
        <w:gridCol w:w="109"/>
        <w:gridCol w:w="441"/>
        <w:gridCol w:w="1290"/>
        <w:gridCol w:w="323"/>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0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2,483,342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3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4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3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20"/>
        </w:rPr>
        <w:t xml:space="preserve">The weighted-average grant date fair value of RSUs granted for the years ended December 31, 2025,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2023</w:t>
      </w:r>
      <w:r>
        <w:rPr>
          <w:color w:val="000000"/>
        </w:rPr>
        <w:t xml:space="preserve"> </w:t>
      </w:r>
      <w:r>
        <w:rPr>
          <w:rFonts w:ascii="Times New Roman;serif" w:hAnsi="Times New Roman;serif"/>
          <w:b w:val="false"/>
          <w:color w:val="000000"/>
          <w:sz w:val="20"/>
        </w:rPr>
        <w:t xml:space="preserve">was </w:t>
      </w:r>
      <w:r>
        <w:rPr>
          <w:rFonts w:ascii="Times New Roman;serif" w:hAnsi="Times New Roman;serif"/>
          <w:b w:val="false"/>
          <w:color w:val="000000"/>
          <w:sz w:val="20"/>
          <w:shd w:fill="FFFFFF" w:val="clear"/>
        </w:rPr>
        <w:t>$30.40</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$34.33</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$26.25</w:t>
      </w:r>
      <w:r>
        <w:rPr>
          <w:rFonts w:ascii="Times New Roman;serif" w:hAnsi="Times New Roman;serif"/>
          <w:b w:val="false"/>
          <w:color w:val="000000"/>
          <w:sz w:val="20"/>
        </w:rPr>
        <w:t xml:space="preserve">, respectively. The total fair value of RSUs vested (measured on the date of vesting) for the years ended December 31, 2025,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2023</w:t>
      </w:r>
      <w:r>
        <w:rPr>
          <w:color w:val="000000"/>
        </w:rPr>
        <w:t xml:space="preserve"> </w:t>
      </w:r>
      <w:r>
        <w:rPr>
          <w:rFonts w:ascii="Times New Roman;serif" w:hAnsi="Times New Roman;serif"/>
          <w:b w:val="false"/>
          <w:color w:val="000000"/>
          <w:sz w:val="20"/>
        </w:rPr>
        <w:t>was $32,904, $32,792, and $17,677, respectively.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unrecognized compensation cost related to RSUs was $48,555 and is expected to be recognized as expense over approximately 1.9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for the year ended December 31, 2025 and related information is as follows:</w:t>
      </w:r>
    </w:p>
    <w:tbl>
      <w:tblPr>
        <w:tblW w:w="8890" w:type="dxa"/>
        <w:jc w:val="left"/>
        <w:tblInd w:w="0" w:type="dxa"/>
        <w:tblLayout w:type="fixed"/>
        <w:tblCellMar>
          <w:top w:w="28" w:type="dxa"/>
          <w:left w:w="28" w:type="dxa"/>
          <w:bottom w:w="28" w:type="dxa"/>
          <w:right w:w="28" w:type="dxa"/>
        </w:tblCellMar>
      </w:tblPr>
      <w:tblGrid>
        <w:gridCol w:w="1147"/>
        <w:gridCol w:w="1006"/>
        <w:gridCol w:w="1012"/>
        <w:gridCol w:w="297"/>
        <w:gridCol w:w="297"/>
        <w:gridCol w:w="305"/>
        <w:gridCol w:w="109"/>
        <w:gridCol w:w="109"/>
        <w:gridCol w:w="109"/>
        <w:gridCol w:w="301"/>
        <w:gridCol w:w="878"/>
        <w:gridCol w:w="156"/>
        <w:gridCol w:w="109"/>
        <w:gridCol w:w="109"/>
        <w:gridCol w:w="109"/>
        <w:gridCol w:w="474"/>
        <w:gridCol w:w="474"/>
        <w:gridCol w:w="476"/>
        <w:gridCol w:w="109"/>
        <w:gridCol w:w="109"/>
        <w:gridCol w:w="109"/>
        <w:gridCol w:w="211"/>
        <w:gridCol w:w="72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89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grant stock options during the years ended December 31, 2025 and 2023. The weighted-average assumptions used in the Black-Scholes option pricing model to determine the fair value of the employee stock option granted in the year ended December 31, 2024 were as follows:</w:t>
      </w:r>
    </w:p>
    <w:tbl>
      <w:tblPr>
        <w:tblW w:w="5146" w:type="dxa"/>
        <w:jc w:val="left"/>
        <w:tblInd w:w="0" w:type="dxa"/>
        <w:tblLayout w:type="fixed"/>
        <w:tblCellMar>
          <w:top w:w="28" w:type="dxa"/>
          <w:left w:w="28" w:type="dxa"/>
          <w:bottom w:w="28" w:type="dxa"/>
          <w:right w:w="28" w:type="dxa"/>
        </w:tblCellMar>
      </w:tblPr>
      <w:tblGrid>
        <w:gridCol w:w="771"/>
        <w:gridCol w:w="677"/>
        <w:gridCol w:w="681"/>
        <w:gridCol w:w="203"/>
        <w:gridCol w:w="203"/>
        <w:gridCol w:w="304"/>
        <w:gridCol w:w="122"/>
        <w:gridCol w:w="122"/>
        <w:gridCol w:w="122"/>
        <w:gridCol w:w="255"/>
        <w:gridCol w:w="256"/>
        <w:gridCol w:w="304"/>
        <w:gridCol w:w="122"/>
        <w:gridCol w:w="122"/>
        <w:gridCol w:w="122"/>
        <w:gridCol w:w="203"/>
        <w:gridCol w:w="203"/>
        <w:gridCol w:w="3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0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pP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color w:val="000000"/>
          <w:sz w:val="20"/>
        </w:rPr>
        <w:t>The risk-free interest rate assumption is based on observed interest rates appropriate for the expected term of the stock option grants.</w:t>
      </w:r>
    </w:p>
    <w:p>
      <w:pPr>
        <w:pStyle w:val="TextBody"/>
        <w:bidi w:val="0"/>
        <w:spacing w:lineRule="auto" w:line="288" w:before="0" w:after="200"/>
        <w:jc w:val="left"/>
        <w:rPr/>
      </w:pP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Due to the Company’s limited operating history and lack of company-specific historical or implied volatility, the expected volatility assumption is based on the Company’s volatility as well as the historical volatilities of a peer group of similar companies whose share prices are publicly available. The peer group was developed based on companies in the biotechnology and pharmaceutical industries. In evaluating similarity, the Company considers factors such as industry, stage of life cycle and size.</w:t>
      </w:r>
    </w:p>
    <w:p>
      <w:pPr>
        <w:pStyle w:val="TextBody"/>
        <w:bidi w:val="0"/>
        <w:spacing w:lineRule="auto" w:line="288" w:before="0" w:after="200"/>
        <w:jc w:val="left"/>
        <w:rPr/>
      </w:pP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color w:val="000000"/>
          <w:sz w:val="20"/>
        </w:rPr>
        <w:t xml:space="preserve">The expected term represents the period of time that options are expected to be outstanding. Because the Company does not have sufficient levels of historical exercise behavior through December 31, 2025, it determined the expected term assumption using the simplified method, which is an average of the contractual term of the option and its vesting period. </w:t>
      </w:r>
    </w:p>
    <w:p>
      <w:pPr>
        <w:pStyle w:val="TextBody"/>
        <w:bidi w:val="0"/>
        <w:spacing w:lineRule="auto" w:line="288" w:before="0" w:after="200"/>
        <w:jc w:val="left"/>
        <w:rPr/>
      </w:pPr>
      <w:r>
        <w:rPr>
          <w:rFonts w:ascii="Times New Roman;serif" w:hAnsi="Times New Roman;serif"/>
          <w:b w:val="false"/>
          <w:i/>
          <w:color w:val="000000"/>
          <w:sz w:val="20"/>
        </w:rPr>
        <w:t>Expected Dividend Yield.</w:t>
      </w:r>
      <w:r>
        <w:rPr>
          <w:color w:val="000000"/>
        </w:rPr>
        <w:t xml:space="preserve"> </w:t>
      </w:r>
      <w:r>
        <w:rPr>
          <w:rFonts w:ascii="Times New Roman;serif" w:hAnsi="Times New Roman;serif"/>
          <w:b w:val="false"/>
          <w:color w:val="000000"/>
          <w:sz w:val="20"/>
        </w:rPr>
        <w:t>The expected dividend yield assumption is based on the fact that the Company has never paid cash dividends and has no present intention to pay cash dividends.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grant stock options during the years ended December 31, 2025 and 2023. The weighted-average grant date fair value of stock options granted for the year ended December 31, 2024 was $17.10. The total intrinsic value of stock options exercised for the years ended December 31, 2025, 2024 and 2023 was $4,514, $6,833, and $4,786, respectively.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unrecognized compensation cost related to outstanding options was $1,597 and is expected to be recognized as expense over approximately 2.9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2015 Employee Stock Purchase Plan allows employees as designated by the Company’s Board of Directors to purchase shares of the Company’s common stock. The purchase price is equal to 85% of the lower of the closing price of the Company’s common stock on: (i) the first day of the purchase period; or (ii) the last day of the purchase period. During the year ended December 31, 2025, 50,187 shares of common stock were purchased for total proceeds of $1,363. As of December 31, 2025, there were 2,791,393 shares of common stock authorized for issuance pursuant to the employee stock purchase plan. The compensation expense for the years ended December 31, 2025, 2024, and 2023 was $582, $310, and $209 respectively.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stock-based compensation expense for the years ended December 31, 2025, 2024, and 2023 was $41,906, $32,400, and $27,136, respectively, and was recorded as a component of selling, general and administrative expense within the consolidated statements of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approximately $55,564 of unrecognized compensation expense related to unvested PSUs, RSUs, and options, which is expected to be recognized as expense over a weighted average period of approximately 1.9 years.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19. Income Taxes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income before tax is all related to domestic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paid, net of refunds received consisted of the following: </w:t>
      </w:r>
    </w:p>
    <w:tbl>
      <w:tblPr>
        <w:tblW w:w="7152" w:type="dxa"/>
        <w:jc w:val="center"/>
        <w:tblInd w:w="0" w:type="dxa"/>
        <w:tblLayout w:type="fixed"/>
        <w:tblCellMar>
          <w:top w:w="28" w:type="dxa"/>
          <w:left w:w="28" w:type="dxa"/>
          <w:bottom w:w="28" w:type="dxa"/>
          <w:right w:w="28" w:type="dxa"/>
        </w:tblCellMar>
      </w:tblPr>
      <w:tblGrid>
        <w:gridCol w:w="1447"/>
        <w:gridCol w:w="1269"/>
        <w:gridCol w:w="1289"/>
        <w:gridCol w:w="109"/>
        <w:gridCol w:w="109"/>
        <w:gridCol w:w="109"/>
        <w:gridCol w:w="548"/>
        <w:gridCol w:w="1872"/>
        <w:gridCol w:w="400"/>
      </w:tblGrid>
      <w:tr>
        <w:trPr/>
        <w:tc>
          <w:tcPr>
            <w:tcW w:w="1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49,788 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60,041 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individual jurisdiction other than federal accounted for more than 5% of total taxes paid, net of refunds received.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consisted of the following:</w:t>
      </w:r>
    </w:p>
    <w:tbl>
      <w:tblPr>
        <w:tblW w:w="6252" w:type="dxa"/>
        <w:jc w:val="left"/>
        <w:tblInd w:w="0" w:type="dxa"/>
        <w:tblLayout w:type="fixed"/>
        <w:tblCellMar>
          <w:top w:w="28" w:type="dxa"/>
          <w:left w:w="28" w:type="dxa"/>
          <w:bottom w:w="28" w:type="dxa"/>
          <w:right w:w="28" w:type="dxa"/>
        </w:tblCellMar>
      </w:tblPr>
      <w:tblGrid>
        <w:gridCol w:w="825"/>
        <w:gridCol w:w="726"/>
        <w:gridCol w:w="729"/>
        <w:gridCol w:w="211"/>
        <w:gridCol w:w="796"/>
        <w:gridCol w:w="109"/>
        <w:gridCol w:w="109"/>
        <w:gridCol w:w="109"/>
        <w:gridCol w:w="109"/>
        <w:gridCol w:w="211"/>
        <w:gridCol w:w="796"/>
        <w:gridCol w:w="109"/>
        <w:gridCol w:w="109"/>
        <w:gridCol w:w="109"/>
        <w:gridCol w:w="109"/>
        <w:gridCol w:w="211"/>
        <w:gridCol w:w="72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benefit: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reconciliation of income tax expense with income taxes at the U.S. statutory rate for the year ended December 31, 2025: </w:t>
      </w:r>
    </w:p>
    <w:p>
      <w:pPr>
        <w:pStyle w:val="TextBody"/>
        <w:bidi w:val="0"/>
        <w:spacing w:before="0" w:after="0"/>
        <w:jc w:val="left"/>
        <w:rPr/>
      </w:pPr>
      <w:r>
        <w:rPr/>
      </w:r>
    </w:p>
    <w:tbl>
      <w:tblPr>
        <w:tblW w:w="8465" w:type="dxa"/>
        <w:jc w:val="left"/>
        <w:tblInd w:w="0" w:type="dxa"/>
        <w:tblLayout w:type="fixed"/>
        <w:tblCellMar>
          <w:top w:w="28" w:type="dxa"/>
          <w:left w:w="28" w:type="dxa"/>
          <w:bottom w:w="28" w:type="dxa"/>
          <w:right w:w="28" w:type="dxa"/>
        </w:tblCellMar>
      </w:tblPr>
      <w:tblGrid>
        <w:gridCol w:w="1855"/>
        <w:gridCol w:w="1634"/>
        <w:gridCol w:w="1641"/>
        <w:gridCol w:w="109"/>
        <w:gridCol w:w="109"/>
        <w:gridCol w:w="109"/>
        <w:gridCol w:w="312"/>
        <w:gridCol w:w="1069"/>
        <w:gridCol w:w="161"/>
        <w:gridCol w:w="161"/>
        <w:gridCol w:w="161"/>
        <w:gridCol w:w="161"/>
        <w:gridCol w:w="255"/>
        <w:gridCol w:w="256"/>
        <w:gridCol w:w="472"/>
      </w:tblGrid>
      <w:tr>
        <w:trPr/>
        <w:tc>
          <w:tcPr>
            <w:tcW w:w="185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 net of federal income tax effect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 For the period presented, state income taxes in Georgia, New York, California, Massachusetts, Florida, and Colorado comprise the majority of state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effective tax rate was impacted by permanent differences, including nondeductible officer compensation and excess benefits from stock compensation. Other nontaxable or nondeductible items primarily relate to nondeductible meals expense, nondeductible Branded Prescription Drug fees, and provision-to-return adjustments. Other adjustments primarily relate to prior period adjustments to income taxes payable.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reconciliation of income tax expense for the years ended December 31, 2024 and 2023 computed at the statutory federal income tax rate to income taxes as reflected in the consolidated financial statements is as follows:</w:t>
      </w:r>
    </w:p>
    <w:p>
      <w:pPr>
        <w:pStyle w:val="TextBody"/>
        <w:bidi w:val="0"/>
        <w:spacing w:before="0" w:after="0"/>
        <w:jc w:val="left"/>
        <w:rPr/>
      </w:pPr>
      <w:r>
        <w:rPr/>
      </w:r>
    </w:p>
    <w:tbl>
      <w:tblPr>
        <w:tblW w:w="6494" w:type="dxa"/>
        <w:jc w:val="center"/>
        <w:tblInd w:w="0" w:type="dxa"/>
        <w:tblLayout w:type="fixed"/>
        <w:tblCellMar>
          <w:top w:w="28" w:type="dxa"/>
          <w:left w:w="28" w:type="dxa"/>
          <w:bottom w:w="28" w:type="dxa"/>
          <w:right w:w="28" w:type="dxa"/>
        </w:tblCellMar>
      </w:tblPr>
      <w:tblGrid>
        <w:gridCol w:w="1328"/>
        <w:gridCol w:w="1171"/>
        <w:gridCol w:w="1175"/>
        <w:gridCol w:w="158"/>
        <w:gridCol w:w="158"/>
        <w:gridCol w:w="158"/>
        <w:gridCol w:w="292"/>
        <w:gridCol w:w="219"/>
        <w:gridCol w:w="392"/>
        <w:gridCol w:w="158"/>
        <w:gridCol w:w="158"/>
        <w:gridCol w:w="158"/>
        <w:gridCol w:w="292"/>
        <w:gridCol w:w="219"/>
        <w:gridCol w:w="458"/>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7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expense at statutory rate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resulting from:</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benefit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 - debt extinguishment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 - all other</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rates and other</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9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4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2024 and 2023, the effective tax rate was impacted by permanent differences, including the extinguishment of the Company’s 2026 convertible notes, for which certain extinguishment costs were not deductible for tax purposes. Stock compensation, including the impact of excess benefits and 162(m) limitations, impacted the effective tax rate at varying percentages each year due to changes in the non-deductible amount and profit before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Deferred taxes are recognized for temporary differences between the basis of assets and liabilities for financial statement and income tax purposes. The significant components of the Company’s deferred tax assets and liabilities are comprised of the following:</w:t>
      </w:r>
    </w:p>
    <w:tbl>
      <w:tblPr>
        <w:tblW w:w="5784" w:type="dxa"/>
        <w:jc w:val="left"/>
        <w:tblInd w:w="0" w:type="dxa"/>
        <w:tblLayout w:type="fixed"/>
        <w:tblCellMar>
          <w:top w:w="28" w:type="dxa"/>
          <w:left w:w="28" w:type="dxa"/>
          <w:bottom w:w="28" w:type="dxa"/>
          <w:right w:w="28" w:type="dxa"/>
        </w:tblCellMar>
      </w:tblPr>
      <w:tblGrid>
        <w:gridCol w:w="1170"/>
        <w:gridCol w:w="1026"/>
        <w:gridCol w:w="1029"/>
        <w:gridCol w:w="211"/>
        <w:gridCol w:w="826"/>
        <w:gridCol w:w="109"/>
        <w:gridCol w:w="109"/>
        <w:gridCol w:w="109"/>
        <w:gridCol w:w="109"/>
        <w:gridCol w:w="211"/>
        <w:gridCol w:w="721"/>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returns and discounts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158,722 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152,224 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(54,191)</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98,033 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valuation allowance when it is more-likely-than-not that deferred tax assets will not be realized. In determining the extent to which a valuation allowance for deferred tax assets is required, the Company evaluates all available evidence including projections of future taxable income, carryback opportunities, reversal of certain deferred tax liabilities, and other tax planning strategies. The Company maintains a partial valuation against its federal and state net operating losses and federal R&amp;D credits as of December 31, 2025 and 2024. The valuation allowance was $5,289 and $6,498 as of December 31, 2025 and 2024, respectively, and reflects limitations based on the Company’s ability to use such assets prior to expiration. The change in the valuation allowance decreased the provision for income taxes by $23 in the year ended December 31, 2025 and increased the provision for income taxes by $431 and $527 in the years ended December 31, 2024 and 2023,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of 2017 (“TCJA”) will generally allow losses incurred after 2017 to be carried over indefinitely but will generally limit the net operating loss (“NOL”) deduction to the lesser of the NOL carryover or 80% of a corporation’s taxable income (subject to Internal Revenue Code Sections 382 and 383). Also, there will be no carryback for losses incurred after 2017. Losses incurred prior to 2018 will generally be deductible to the extent of the lesser of a corporation’s NOL carryover or 100% of a corporation’s taxable income (subject to Internal Revenue Code Section 382 and 383) and be available for twenty years from the period the loss was generated.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gross U.S. federal net operating loss carryforwards of $66,588, of which $24,600 arose prior to 2018 and are available to offset future taxable income, if any, through 2037. The remaining $41,988 are available for an indefinite period. As of December 31, 2024, the Company had gross U.S. federal net operating loss carryforwards of $102,148.</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also had gross U.S. state net operating loss carryforwards of $192,380 and $198,986, respectively, which may be available to offset future income tax liabilities and expire at various dates through 2042.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federal research and development tax credit carryforwards of approximately $680 and $1,025, respectively.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studies to assess the impact of ownership changes, if any, on the Company’s ability to use its NOL and tax credit carryovers as defined under Section 382 of the Internal Revenue Code (“IRC 382”). The Company concluded that there were ownership changes that occurred during the years 2006, 2012 and 2015 that would be subject to IRC 382 limitations. The Company acquired $234,675 of net operating loss carryforward from the BDSI Acquisition. The Company concluded that there were ownership changes for BDSI that occurred during the years 2006 and 2022 that would be subject to IRC 382 limitations. These IRC 382 annual limitations may limit the Company’s ability to use pre-ownership change federal NOL carryovers and pre-ownership change federal tax credit carryovers. As of December 31, 2025, remaining net operating losses of $66,588 are subject to limitation.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United States and in several states. The federal and state income tax returns are generally subject to tax examinations for the tax years ended December 31, 2021 through December 31, 2025. To the extent the Company has tax attribute carryforwards, the tax years in which the attribute was generated may still be adjusted upon examination by the Internal Revenue Service or state tax authorities to the extent utilized in a future period.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not recognized deferred tax assets for certain federal and state research and development credits related to uncertain tax positions, and that is included in the tabular rollforward of uncertain tax positions. A reconciliation of the beginning and ending amount of gross unrecognized tax benefits (“UTB”) is as follows:</w:t>
      </w:r>
    </w:p>
    <w:tbl>
      <w:tblPr>
        <w:tblW w:w="10205" w:type="dxa"/>
        <w:jc w:val="left"/>
        <w:tblInd w:w="0" w:type="dxa"/>
        <w:tblLayout w:type="fixed"/>
        <w:tblCellMar>
          <w:top w:w="28" w:type="dxa"/>
          <w:left w:w="28" w:type="dxa"/>
          <w:bottom w:w="28" w:type="dxa"/>
          <w:right w:w="28" w:type="dxa"/>
        </w:tblCellMar>
      </w:tblPr>
      <w:tblGrid>
        <w:gridCol w:w="2390"/>
        <w:gridCol w:w="1987"/>
        <w:gridCol w:w="2004"/>
        <w:gridCol w:w="211"/>
        <w:gridCol w:w="721"/>
        <w:gridCol w:w="109"/>
        <w:gridCol w:w="109"/>
        <w:gridCol w:w="109"/>
        <w:gridCol w:w="109"/>
        <w:gridCol w:w="211"/>
        <w:gridCol w:w="721"/>
        <w:gridCol w:w="109"/>
        <w:gridCol w:w="109"/>
        <w:gridCol w:w="109"/>
        <w:gridCol w:w="109"/>
        <w:gridCol w:w="211"/>
        <w:gridCol w:w="721"/>
        <w:gridCol w:w="156"/>
      </w:tblGrid>
      <w:tr>
        <w:trPr/>
        <w:tc>
          <w:tcPr>
            <w:tcW w:w="239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UTB Balance as of January 1</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additions for tax positions of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UTB Balance as of December 31</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UTB impacting the effective tax rate as of December 31 excluding valuation allowance impacts, if any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no accrued interest or penalties related to uncertain tax positions. During the years ended December 31, 2025, 2024 and 2023, no interest or penalties related to uncertain tax positions have been recognized in the Company’s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20. Employee Benefits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a retirement savings plan, which is qualified under section 401(k) of the Code, for its employees. The plan allows eligible employees to defer, at the employee’s discretion, pretax compensation up to the Internal Revenue Service annual limits. Employees become eligible to participate starting on the first day of employment. The Company is not required to contribute to this plan. Total expense for contributions made by the Company for the years ended December 31, 2025, 2024 and 2023 was $3,461, $1,945, and $1,759,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 Segment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product portfolio includes Jornay PM, Belbuca, Xtampza ER, Nucynta IR and Nucynta ER, and Symproic. The Company defines its segments on the basis of the way in which internally reported financial information is regularly reviewed by the chief operating decision maker (“CODM”) to analyze financial performance, make decisions, and allocate resources. The CODM is the Chief Executive Officer. As the internal reporting is based on the consolidated results, the Company has identified one operating and reportable segment and the measure of segment profit or loss is consolidated net income. The CODM uses net income to assess actual results and considers budget-to-actual variances on a quarterly basis when making decisions about the allocation of operating and capital resources.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regularly provided to the CODM includes consolidated cost of sales information and segment expense categories at a more disaggregated level than the consolidated statement of operations. The significant segment expenses for functional areas exclude stock-based compensation and certain other segment expenses, and are reported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functional areas: corporate, medical, technical operations, and commercial. The corporate functional area includes operating expenses related to finance, legal, business development, and other administrative activities, excluding stock-based compensation and other segment expenses (“Corporate Expenses”). The medical functional area includes operating expenses related to medical affairs, regulatory, pharmacovigilance and other medical-related activities, excluding stock-based compensation and other segment expenses (“Medical Expenses”). The technical operations functional area includes non-inventoriable operating expenses related to supply chain, product quality, information technology and other technical activities, excluding stock-based compensation and other segment expenses (“Technical Operations Expenses”). The commercial function includes operating expenses related to sales, marketing, market access, and other commercial activities, excluding stock-based compensation and other segment expenses (“Commercial Expenses”). Stock compensation is a significant segment expense and other segment expenses are included in Other segment items or separately stated in the table below.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the Company’s segment, including segment expenses, and a reconciliation to net income: </w:t>
      </w:r>
    </w:p>
    <w:tbl>
      <w:tblPr>
        <w:tblW w:w="9671" w:type="dxa"/>
        <w:jc w:val="left"/>
        <w:tblInd w:w="0" w:type="dxa"/>
        <w:tblLayout w:type="fixed"/>
        <w:tblCellMar>
          <w:top w:w="28" w:type="dxa"/>
          <w:left w:w="28" w:type="dxa"/>
          <w:bottom w:w="28" w:type="dxa"/>
          <w:right w:w="28" w:type="dxa"/>
        </w:tblCellMar>
      </w:tblPr>
      <w:tblGrid>
        <w:gridCol w:w="2006"/>
        <w:gridCol w:w="1761"/>
        <w:gridCol w:w="1767"/>
        <w:gridCol w:w="211"/>
        <w:gridCol w:w="826"/>
        <w:gridCol w:w="109"/>
        <w:gridCol w:w="109"/>
        <w:gridCol w:w="109"/>
        <w:gridCol w:w="109"/>
        <w:gridCol w:w="211"/>
        <w:gridCol w:w="826"/>
        <w:gridCol w:w="109"/>
        <w:gridCol w:w="109"/>
        <w:gridCol w:w="109"/>
        <w:gridCol w:w="109"/>
        <w:gridCol w:w="211"/>
        <w:gridCol w:w="826"/>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566,767 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operations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Other segment expenses are primarily acquisition-related expenses, expenses related to the Company’s CEO and other executive transitions, litigation settlements, and fair value remeasurement of contingent consideration.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Depreciation expense was $4,182, $3,856 and $3,496 in the years ended December 31, 2025, 2024 and 2023, respectively. Intangible asset amortization was $221,892, $165,304 and $145,760 in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22. Unaudited Quarterly Operating Results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unaudited quarterly results of operations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1673"/>
        <w:gridCol w:w="1295"/>
        <w:gridCol w:w="129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Third</w:t>
              <w:b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Fourth</w:t>
              <w:br/>
              <w:t>Quarter</w:t>
            </w:r>
          </w:p>
        </w:tc>
      </w:tr>
      <w:tr>
        <w:trPr/>
        <w:tc>
          <w:tcPr>
            <w:tcW w:w="426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205,449 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77,071 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128,378 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67,621 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60,757 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29,036 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31,793,739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31,810,612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31,652,987</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32,840,153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39,075,703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39,439,890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40,076,457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200"/>
        <w:jc w:val="left"/>
        <w:rPr/>
      </w:pPr>
      <w:hyperlink w:anchor="idad25bcb385e41bf966f247faa2ba0c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73"/>
        <w:gridCol w:w="1295"/>
        <w:gridCol w:w="129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Second</w:t>
              <w:b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Third</w:t>
              <w:b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Fourth</w:t>
              <w:br/>
              <w:t>Quarter</w:t>
            </w:r>
          </w:p>
        </w:tc>
      </w:tr>
      <w:tr>
        <w:trPr/>
        <w:tc>
          <w:tcPr>
            <w:tcW w:w="426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159,301 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181,949 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 (excluding 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83,661 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98,288 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remeasurement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60,177 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38,111 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32,326,589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32,259,468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32,078,621</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41,438,466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40,383,694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40,163,266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40,109,649</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Deal CUSIP: 19459YAA9</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Revolver CUSIP: 19459YAB7</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Term A Loan CUSIP: 19459YAC5</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Delayed Draw Term Loan CUSIP: 19459YAD3</w:t>
      </w:r>
    </w:p>
    <w:p>
      <w:pPr>
        <w:pStyle w:val="TextBody"/>
        <w:bidi w:val="0"/>
        <w:spacing w:before="0" w:after="0"/>
        <w:jc w:val="right"/>
        <w:rPr/>
      </w:pPr>
      <w:r>
        <w:rPr/>
      </w:r>
    </w:p>
    <w:p>
      <w:pPr>
        <w:pStyle w:val="TextBody"/>
        <w:bidi w:val="0"/>
        <w:spacing w:before="0" w:after="360"/>
        <w:jc w:val="right"/>
        <w:rPr/>
      </w:pPr>
      <w:r>
        <w:rPr/>
      </w:r>
    </w:p>
    <w:p>
      <w:pPr>
        <w:pStyle w:val="TextBody"/>
        <w:bidi w:val="0"/>
        <w:spacing w:before="0" w:after="360"/>
        <w:jc w:val="right"/>
        <w:rPr/>
      </w:pPr>
      <w:r>
        <w:rPr/>
      </w:r>
    </w:p>
    <w:p>
      <w:pPr>
        <w:pStyle w:val="TextBody"/>
        <w:bidi w:val="0"/>
        <w:spacing w:lineRule="auto" w:line="288" w:before="0" w:after="360"/>
        <w:jc w:val="center"/>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December 23, 2025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among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COLLEGIUM PHARMACEUTICAL,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Borrower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LENDERS FROM TIME TO TIME PARTY HERETO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TRUIST BANK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Administrative Agent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TRUIST SECURITIES,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CITIZENS 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MUFG BANK, LTD.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FIFTH THIRD BANK, NATIONAL ASSOCIATION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HUNTINGTON NATIONAL BANK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U.S. BANK NATIONAL ASSOCIATION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Joint Bookrunners and Joint Lead Arrangers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FLAGSTAR 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PNC 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SYNOVUS BANK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Co-Documentation Agents</w:t>
      </w:r>
    </w:p>
    <w:p>
      <w:pPr>
        <w:pStyle w:val="TextBody"/>
        <w:bidi w:val="0"/>
        <w:spacing w:before="0" w:after="240"/>
        <w:jc w:val="center"/>
        <w:rPr/>
      </w:pPr>
      <w:r>
        <w:rPr/>
      </w:r>
    </w:p>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bottom w:val="double" w:sz="5" w:space="0" w:color="000000"/>
            </w:tcBorders>
            <w:tcMar>
              <w:top w:w="0" w:type="dxa"/>
              <w:left w:w="0" w:type="dxa"/>
              <w:right w:w="0" w:type="dxa"/>
            </w:tcMar>
            <w:vAlign w:val="center"/>
          </w:tcPr>
          <w:p>
            <w:pPr>
              <w:pStyle w:val="TableContents"/>
              <w:bidi w:val="0"/>
              <w:spacing w:before="0" w:after="240"/>
              <w:ind w:left="0" w:right="0" w:firstLine="72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61695"/>
                <wp:effectExtent l="0" t="0" r="0" b="0"/>
                <wp:wrapNone/>
                <wp:docPr id="121" name="Frame119"/>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ind w:left="0" w:right="0" w:firstLine="72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3596"/>
        <w:gridCol w:w="3099"/>
        <w:gridCol w:w="3117"/>
        <w:gridCol w:w="114"/>
        <w:gridCol w:w="114"/>
        <w:gridCol w:w="165"/>
      </w:tblGrid>
      <w:tr>
        <w:trPr/>
        <w:tc>
          <w:tcPr>
            <w:tcW w:w="3596"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f4cc35469414d65ae373d67c3903903">
              <w:r>
                <w:rPr>
                  <w:rStyle w:val="InternetLink"/>
                  <w:rFonts w:ascii="Times New Roman;serif" w:hAnsi="Times New Roman;serif"/>
                  <w:b/>
                  <w:strike w:val="false"/>
                  <w:dstrike w:val="false"/>
                  <w:color w:val="000000"/>
                  <w:sz w:val="24"/>
                  <w:u w:val="none"/>
                  <w:effect w:val="none"/>
                </w:rPr>
                <w:t>Article I    </w:t>
                <w:br/>
                <w:br/>
                <w:t>DEFINITIONS; CONSTRUCTION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4cc35469414d65ae373d67c3903903">
              <w:r>
                <w:rPr>
                  <w:rStyle w:val="InternetLink"/>
                  <w:rFonts w:ascii="Times New Roman;serif" w:hAnsi="Times New Roman;serif"/>
                  <w:b/>
                  <w:strike w:val="false"/>
                  <w:dstrike w:val="false"/>
                  <w:color w:val="000000"/>
                  <w:sz w:val="24"/>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9d67fbbbf0c477d9749f94a57d22a9a">
              <w:r>
                <w:rPr>
                  <w:rStyle w:val="InternetLink"/>
                  <w:rFonts w:ascii="Times New Roman;serif" w:hAnsi="Times New Roman;serif"/>
                  <w:b w:val="false"/>
                  <w:strike w:val="false"/>
                  <w:dstrike w:val="false"/>
                  <w:color w:val="000000"/>
                  <w:sz w:val="24"/>
                  <w:u w:val="none"/>
                  <w:effect w:val="none"/>
                </w:rPr>
                <w:t>Section 1.1    Definitions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d67fbbbf0c477d9749f94a57d22a9a">
              <w:r>
                <w:rPr>
                  <w:rStyle w:val="InternetLink"/>
                  <w:rFonts w:ascii="Times New Roman;serif" w:hAnsi="Times New Roman;serif"/>
                  <w:b w:val="false"/>
                  <w:strike w:val="false"/>
                  <w:dstrike w:val="false"/>
                  <w:color w:val="000000"/>
                  <w:sz w:val="24"/>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20ac99070b44470893640290935a9be">
              <w:r>
                <w:rPr>
                  <w:rStyle w:val="InternetLink"/>
                  <w:rFonts w:ascii="Times New Roman;serif" w:hAnsi="Times New Roman;serif"/>
                  <w:b w:val="false"/>
                  <w:strike w:val="false"/>
                  <w:dstrike w:val="false"/>
                  <w:color w:val="000000"/>
                  <w:sz w:val="24"/>
                  <w:u w:val="none"/>
                  <w:effect w:val="none"/>
                </w:rPr>
                <w:t>Section 1.2    Classifications of Loans and Borrowings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0ac99070b44470893640290935a9be">
              <w:r>
                <w:rPr>
                  <w:rStyle w:val="InternetLink"/>
                  <w:rFonts w:ascii="Times New Roman;serif" w:hAnsi="Times New Roman;serif"/>
                  <w:b w:val="false"/>
                  <w:strike w:val="false"/>
                  <w:dstrike w:val="false"/>
                  <w:color w:val="000000"/>
                  <w:sz w:val="24"/>
                  <w:u w:val="none"/>
                  <w:effect w:val="none"/>
                </w:rPr>
                <w:t>53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c0be98e30b4144a41f9c57fc5d0086">
              <w:r>
                <w:rPr>
                  <w:rStyle w:val="InternetLink"/>
                  <w:rFonts w:ascii="Times New Roman;serif" w:hAnsi="Times New Roman;serif"/>
                  <w:b w:val="false"/>
                  <w:strike w:val="false"/>
                  <w:dstrike w:val="false"/>
                  <w:color w:val="000000"/>
                  <w:sz w:val="24"/>
                  <w:u w:val="none"/>
                  <w:effect w:val="none"/>
                </w:rPr>
                <w:t>Section 1.3    Accounting Terms and Determination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c0be98e30b4144a41f9c57fc5d0086">
              <w:r>
                <w:rPr>
                  <w:rStyle w:val="InternetLink"/>
                  <w:rFonts w:ascii="Times New Roman;serif" w:hAnsi="Times New Roman;serif"/>
                  <w:b w:val="false"/>
                  <w:strike w:val="false"/>
                  <w:dstrike w:val="false"/>
                  <w:color w:val="000000"/>
                  <w:sz w:val="24"/>
                  <w:u w:val="none"/>
                  <w:effect w:val="none"/>
                </w:rPr>
                <w:t>53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0a7bfc4edac42bab524840738f620b7">
              <w:r>
                <w:rPr>
                  <w:rStyle w:val="InternetLink"/>
                  <w:rFonts w:ascii="Times New Roman;serif" w:hAnsi="Times New Roman;serif"/>
                  <w:b w:val="false"/>
                  <w:strike w:val="false"/>
                  <w:dstrike w:val="false"/>
                  <w:color w:val="000000"/>
                  <w:sz w:val="24"/>
                  <w:u w:val="none"/>
                  <w:effect w:val="none"/>
                </w:rPr>
                <w:t>Section 1.4    Terms Generally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a7bfc4edac42bab524840738f620b7">
              <w:r>
                <w:rPr>
                  <w:rStyle w:val="InternetLink"/>
                  <w:rFonts w:ascii="Times New Roman;serif" w:hAnsi="Times New Roman;serif"/>
                  <w:b w:val="false"/>
                  <w:strike w:val="false"/>
                  <w:dstrike w:val="false"/>
                  <w:color w:val="000000"/>
                  <w:sz w:val="24"/>
                  <w:u w:val="none"/>
                  <w:effect w:val="non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6d940a64de4bf38dbbce8f19dfbd93">
              <w:r>
                <w:rPr>
                  <w:rStyle w:val="InternetLink"/>
                  <w:rFonts w:ascii="Times New Roman;serif" w:hAnsi="Times New Roman;serif"/>
                  <w:b w:val="false"/>
                  <w:strike w:val="false"/>
                  <w:dstrike w:val="false"/>
                  <w:color w:val="000000"/>
                  <w:sz w:val="24"/>
                  <w:u w:val="none"/>
                  <w:effect w:val="none"/>
                </w:rPr>
                <w:t>Section 1.5    Divisions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d940a64de4bf38dbbce8f19dfbd93">
              <w:r>
                <w:rPr>
                  <w:rStyle w:val="InternetLink"/>
                  <w:rFonts w:ascii="Times New Roman;serif" w:hAnsi="Times New Roman;serif"/>
                  <w:b w:val="false"/>
                  <w:strike w:val="false"/>
                  <w:dstrike w:val="false"/>
                  <w:color w:val="000000"/>
                  <w:sz w:val="24"/>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395309cf0cc415f94e623e13315c2e0">
              <w:r>
                <w:rPr>
                  <w:rStyle w:val="InternetLink"/>
                  <w:rFonts w:ascii="Times New Roman;serif" w:hAnsi="Times New Roman;serif"/>
                  <w:b w:val="false"/>
                  <w:strike w:val="false"/>
                  <w:dstrike w:val="false"/>
                  <w:color w:val="000000"/>
                  <w:sz w:val="24"/>
                  <w:u w:val="none"/>
                  <w:effect w:val="none"/>
                </w:rPr>
                <w:t>Section 1.6    Rates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5309cf0cc415f94e623e13315c2e0">
              <w:r>
                <w:rPr>
                  <w:rStyle w:val="InternetLink"/>
                  <w:rFonts w:ascii="Times New Roman;serif" w:hAnsi="Times New Roman;serif"/>
                  <w:b w:val="false"/>
                  <w:strike w:val="false"/>
                  <w:dstrike w:val="false"/>
                  <w:color w:val="000000"/>
                  <w:sz w:val="24"/>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f02df7794e446cb7cb6334df272c33">
              <w:r>
                <w:rPr>
                  <w:rStyle w:val="InternetLink"/>
                  <w:rFonts w:ascii="Times New Roman;serif" w:hAnsi="Times New Roman;serif"/>
                  <w:b w:val="false"/>
                  <w:strike w:val="false"/>
                  <w:dstrike w:val="false"/>
                  <w:color w:val="000000"/>
                  <w:sz w:val="24"/>
                  <w:u w:val="none"/>
                  <w:effect w:val="none"/>
                </w:rPr>
                <w:t>Section 1.7    Limited Condition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02df7794e446cb7cb6334df272c33">
              <w:r>
                <w:rPr>
                  <w:rStyle w:val="InternetLink"/>
                  <w:rFonts w:ascii="Times New Roman;serif" w:hAnsi="Times New Roman;serif"/>
                  <w:b w:val="false"/>
                  <w:strike w:val="false"/>
                  <w:dstrike w:val="false"/>
                  <w:color w:val="000000"/>
                  <w:sz w:val="24"/>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1bd2e972fb4f2db6ff561da1f676df">
              <w:r>
                <w:rPr>
                  <w:rStyle w:val="InternetLink"/>
                  <w:rFonts w:ascii="Times New Roman;serif" w:hAnsi="Times New Roman;serif"/>
                  <w:b w:val="false"/>
                  <w:strike w:val="false"/>
                  <w:dstrike w:val="false"/>
                  <w:color w:val="000000"/>
                  <w:sz w:val="24"/>
                  <w:u w:val="none"/>
                  <w:effect w:val="none"/>
                </w:rPr>
                <w:t>Section 1.8    Timing of Payment and Performance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1bd2e972fb4f2db6ff561da1f676df">
              <w:r>
                <w:rPr>
                  <w:rStyle w:val="InternetLink"/>
                  <w:rFonts w:ascii="Times New Roman;serif" w:hAnsi="Times New Roman;serif"/>
                  <w:b w:val="false"/>
                  <w:strike w:val="false"/>
                  <w:dstrike w:val="false"/>
                  <w:color w:val="000000"/>
                  <w:sz w:val="24"/>
                  <w:u w:val="none"/>
                  <w:effect w:val="none"/>
                </w:rPr>
                <w:t>56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323654a438745489b542d1cf7d6bb52">
              <w:r>
                <w:rPr>
                  <w:rStyle w:val="InternetLink"/>
                  <w:rFonts w:ascii="Times New Roman;serif" w:hAnsi="Times New Roman;serif"/>
                  <w:b w:val="false"/>
                  <w:strike w:val="false"/>
                  <w:dstrike w:val="false"/>
                  <w:color w:val="000000"/>
                  <w:sz w:val="24"/>
                  <w:u w:val="none"/>
                  <w:effect w:val="none"/>
                </w:rPr>
                <w:t>Section 1.9    Accounting Terms and Determination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23654a438745489b542d1cf7d6bb52">
              <w:r>
                <w:rPr>
                  <w:rStyle w:val="InternetLink"/>
                  <w:rFonts w:ascii="Times New Roman;serif" w:hAnsi="Times New Roman;serif"/>
                  <w:b w:val="false"/>
                  <w:strike w:val="false"/>
                  <w:dstrike w:val="false"/>
                  <w:color w:val="000000"/>
                  <w:sz w:val="24"/>
                  <w:u w:val="none"/>
                  <w:effect w:val="none"/>
                </w:rPr>
                <w:t>56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2086e7a3afd43a2beebf1c11513a068">
              <w:r>
                <w:rPr>
                  <w:rStyle w:val="InternetLink"/>
                  <w:rFonts w:ascii="Times New Roman;serif" w:hAnsi="Times New Roman;serif"/>
                  <w:b/>
                  <w:strike w:val="false"/>
                  <w:dstrike w:val="false"/>
                  <w:color w:val="000000"/>
                  <w:sz w:val="24"/>
                  <w:u w:val="none"/>
                  <w:effect w:val="none"/>
                </w:rPr>
                <w:t>Article II    </w:t>
                <w:br/>
                <w:br/>
                <w:t>AMOUNT AND TERMS OF THE COMMITMENTS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086e7a3afd43a2beebf1c11513a068">
              <w:r>
                <w:rPr>
                  <w:rStyle w:val="InternetLink"/>
                  <w:rFonts w:ascii="Times New Roman;serif" w:hAnsi="Times New Roman;serif"/>
                  <w:b/>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af9c4148cd84df5a88153534d77913a">
              <w:r>
                <w:rPr>
                  <w:rStyle w:val="InternetLink"/>
                  <w:rFonts w:ascii="Times New Roman;serif" w:hAnsi="Times New Roman;serif"/>
                  <w:b w:val="false"/>
                  <w:strike w:val="false"/>
                  <w:dstrike w:val="false"/>
                  <w:color w:val="000000"/>
                  <w:sz w:val="24"/>
                  <w:u w:val="none"/>
                  <w:effect w:val="none"/>
                </w:rPr>
                <w:t>Section 2.1    General Description of Facilities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f9c4148cd84df5a88153534d77913a">
              <w:r>
                <w:rPr>
                  <w:rStyle w:val="InternetLink"/>
                  <w:rFonts w:ascii="Times New Roman;serif" w:hAnsi="Times New Roman;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03e3fc2981640dc9f053330d8b39d0d">
              <w:r>
                <w:rPr>
                  <w:rStyle w:val="InternetLink"/>
                  <w:rFonts w:ascii="Times New Roman;serif" w:hAnsi="Times New Roman;serif"/>
                  <w:b w:val="false"/>
                  <w:strike w:val="false"/>
                  <w:dstrike w:val="false"/>
                  <w:color w:val="000000"/>
                  <w:sz w:val="24"/>
                  <w:u w:val="none"/>
                  <w:effect w:val="none"/>
                </w:rPr>
                <w:t>Section 2.2    Revolving Loans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3e3fc2981640dc9f053330d8b39d0d">
              <w:r>
                <w:rPr>
                  <w:rStyle w:val="InternetLink"/>
                  <w:rFonts w:ascii="Times New Roman;serif" w:hAnsi="Times New Roman;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1e718c95d854deea8e8e4650cef6041">
              <w:r>
                <w:rPr>
                  <w:rStyle w:val="InternetLink"/>
                  <w:rFonts w:ascii="Times New Roman;serif" w:hAnsi="Times New Roman;serif"/>
                  <w:b w:val="false"/>
                  <w:strike w:val="false"/>
                  <w:dstrike w:val="false"/>
                  <w:color w:val="000000"/>
                  <w:sz w:val="24"/>
                  <w:u w:val="none"/>
                  <w:effect w:val="none"/>
                </w:rPr>
                <w:t>Section 2.3    Procedure for Revolving Borrowings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e718c95d854deea8e8e4650cef6041">
              <w:r>
                <w:rPr>
                  <w:rStyle w:val="InternetLink"/>
                  <w:rFonts w:ascii="Times New Roman;serif" w:hAnsi="Times New Roman;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31c75131004a76bc5934a5eb44f4f4">
              <w:r>
                <w:rPr>
                  <w:rStyle w:val="InternetLink"/>
                  <w:rFonts w:ascii="Times New Roman;serif" w:hAnsi="Times New Roman;serif"/>
                  <w:b w:val="false"/>
                  <w:strike w:val="false"/>
                  <w:dstrike w:val="false"/>
                  <w:color w:val="000000"/>
                  <w:sz w:val="24"/>
                  <w:u w:val="none"/>
                  <w:effect w:val="none"/>
                </w:rPr>
                <w:t>Section 2.4    Swingline Commitment.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31c75131004a76bc5934a5eb44f4f4">
              <w:r>
                <w:rPr>
                  <w:rStyle w:val="InternetLink"/>
                  <w:rFonts w:ascii="Times New Roman;serif" w:hAnsi="Times New Roman;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481bd2ed31044ff947f2d69a10c430a">
              <w:r>
                <w:rPr>
                  <w:rStyle w:val="InternetLink"/>
                  <w:rFonts w:ascii="Times New Roman;serif" w:hAnsi="Times New Roman;serif"/>
                  <w:b w:val="false"/>
                  <w:strike w:val="false"/>
                  <w:dstrike w:val="false"/>
                  <w:color w:val="000000"/>
                  <w:sz w:val="24"/>
                  <w:u w:val="none"/>
                  <w:effect w:val="none"/>
                </w:rPr>
                <w:t>Section 2.5    Term Loan Commitments; Delayed Draw Term Loan Commitments; Procedure for Borrowing of Delayed Draw Term Loans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81bd2ed31044ff947f2d69a10c430a">
              <w:r>
                <w:rPr>
                  <w:rStyle w:val="InternetLink"/>
                  <w:rFonts w:ascii="Times New Roman;serif" w:hAnsi="Times New Roman;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72ee16641434bcba5f803e5e3a08ffb">
              <w:r>
                <w:rPr>
                  <w:rStyle w:val="InternetLink"/>
                  <w:rFonts w:ascii="Times New Roman;serif" w:hAnsi="Times New Roman;serif"/>
                  <w:b w:val="false"/>
                  <w:strike w:val="false"/>
                  <w:dstrike w:val="false"/>
                  <w:color w:val="000000"/>
                  <w:sz w:val="24"/>
                  <w:u w:val="none"/>
                  <w:effect w:val="none"/>
                </w:rPr>
                <w:t>Section 2.6    Funding of Borrowings.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ee16641434bcba5f803e5e3a08ffb">
              <w:r>
                <w:rPr>
                  <w:rStyle w:val="InternetLink"/>
                  <w:rFonts w:ascii="Times New Roman;serif" w:hAnsi="Times New Roman;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b379f7cae041e1af726af04a285e5e">
              <w:r>
                <w:rPr>
                  <w:rStyle w:val="InternetLink"/>
                  <w:rFonts w:ascii="Times New Roman;serif" w:hAnsi="Times New Roman;serif"/>
                  <w:b w:val="false"/>
                  <w:strike w:val="false"/>
                  <w:dstrike w:val="false"/>
                  <w:color w:val="000000"/>
                  <w:sz w:val="24"/>
                  <w:u w:val="none"/>
                  <w:effect w:val="none"/>
                </w:rPr>
                <w:t>Section 2.7    Interest Elections.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b379f7cae041e1af726af04a285e5e">
              <w:r>
                <w:rPr>
                  <w:rStyle w:val="InternetLink"/>
                  <w:rFonts w:ascii="Times New Roman;serif" w:hAnsi="Times New Roman;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0203fddf700447c8712727d0fefe7b9">
              <w:r>
                <w:rPr>
                  <w:rStyle w:val="InternetLink"/>
                  <w:rFonts w:ascii="Times New Roman;serif" w:hAnsi="Times New Roman;serif"/>
                  <w:b w:val="false"/>
                  <w:strike w:val="false"/>
                  <w:dstrike w:val="false"/>
                  <w:color w:val="000000"/>
                  <w:sz w:val="24"/>
                  <w:u w:val="none"/>
                  <w:effect w:val="none"/>
                </w:rPr>
                <w:t>Section 2.8    Optional Reduction and Termination of Commitments.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203fddf700447c8712727d0fefe7b9">
              <w:r>
                <w:rPr>
                  <w:rStyle w:val="InternetLink"/>
                  <w:rFonts w:ascii="Times New Roman;serif" w:hAnsi="Times New Roman;serif"/>
                  <w:b w:val="false"/>
                  <w:strike w:val="false"/>
                  <w:dstrike w:val="false"/>
                  <w:color w:val="000000"/>
                  <w:sz w:val="24"/>
                  <w:u w:val="none"/>
                  <w:effect w:val="none"/>
                </w:rPr>
                <w:t>61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2f303872864dc582e9943b00522cbb">
              <w:r>
                <w:rPr>
                  <w:rStyle w:val="InternetLink"/>
                  <w:rFonts w:ascii="Times New Roman;serif" w:hAnsi="Times New Roman;serif"/>
                  <w:b w:val="false"/>
                  <w:strike w:val="false"/>
                  <w:dstrike w:val="false"/>
                  <w:color w:val="000000"/>
                  <w:sz w:val="24"/>
                  <w:u w:val="none"/>
                  <w:effect w:val="none"/>
                </w:rPr>
                <w:t>Section 2.9    Repayment of Loans.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2f303872864dc582e9943b00522cbb">
              <w:r>
                <w:rPr>
                  <w:rStyle w:val="InternetLink"/>
                  <w:rFonts w:ascii="Times New Roman;serif" w:hAnsi="Times New Roman;serif"/>
                  <w:b w:val="false"/>
                  <w:strike w:val="false"/>
                  <w:dstrike w:val="false"/>
                  <w:color w:val="000000"/>
                  <w:sz w:val="24"/>
                  <w:u w:val="none"/>
                  <w:effect w:val="none"/>
                </w:rPr>
                <w:t>61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d2dd01999204334972c4f873a031edb">
              <w:r>
                <w:rPr>
                  <w:rStyle w:val="InternetLink"/>
                  <w:rFonts w:ascii="Times New Roman;serif" w:hAnsi="Times New Roman;serif"/>
                  <w:b w:val="false"/>
                  <w:strike w:val="false"/>
                  <w:dstrike w:val="false"/>
                  <w:color w:val="000000"/>
                  <w:sz w:val="24"/>
                  <w:u w:val="none"/>
                  <w:effect w:val="none"/>
                </w:rPr>
                <w:t>Section 2.10    Evidence of Indebtedness.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2dd01999204334972c4f873a031edb">
              <w:r>
                <w:rPr>
                  <w:rStyle w:val="InternetLink"/>
                  <w:rFonts w:ascii="Times New Roman;serif" w:hAnsi="Times New Roman;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69c6fca5f4c4517a6649ae9cf24caff">
              <w:r>
                <w:rPr>
                  <w:rStyle w:val="InternetLink"/>
                  <w:rFonts w:ascii="Times New Roman;serif" w:hAnsi="Times New Roman;serif"/>
                  <w:b w:val="false"/>
                  <w:strike w:val="false"/>
                  <w:dstrike w:val="false"/>
                  <w:color w:val="000000"/>
                  <w:sz w:val="24"/>
                  <w:u w:val="none"/>
                  <w:effect w:val="none"/>
                </w:rPr>
                <w:t>Section 2.11    Optional Prepayments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9c6fca5f4c4517a6649ae9cf24caff">
              <w:r>
                <w:rPr>
                  <w:rStyle w:val="InternetLink"/>
                  <w:rFonts w:ascii="Times New Roman;serif" w:hAnsi="Times New Roman;serif"/>
                  <w:b w:val="false"/>
                  <w:strike w:val="false"/>
                  <w:dstrike w:val="false"/>
                  <w:color w:val="000000"/>
                  <w:sz w:val="24"/>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600a64d940d4cc4b1ef200c423ccca7">
              <w:r>
                <w:rPr>
                  <w:rStyle w:val="InternetLink"/>
                  <w:rFonts w:ascii="Times New Roman;serif" w:hAnsi="Times New Roman;serif"/>
                  <w:b w:val="false"/>
                  <w:strike w:val="false"/>
                  <w:dstrike w:val="false"/>
                  <w:color w:val="000000"/>
                  <w:sz w:val="24"/>
                  <w:u w:val="none"/>
                  <w:effect w:val="none"/>
                </w:rPr>
                <w:t>Section 2.12    Mandatory Prepayments.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00a64d940d4cc4b1ef200c423ccca7">
              <w:r>
                <w:rPr>
                  <w:rStyle w:val="InternetLink"/>
                  <w:rFonts w:ascii="Times New Roman;serif" w:hAnsi="Times New Roman;serif"/>
                  <w:b w:val="false"/>
                  <w:strike w:val="false"/>
                  <w:dstrike w:val="false"/>
                  <w:color w:val="000000"/>
                  <w:sz w:val="24"/>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ba9481f00614b26bebebc3a4ea2318e">
              <w:r>
                <w:rPr>
                  <w:rStyle w:val="InternetLink"/>
                  <w:rFonts w:ascii="Times New Roman;serif" w:hAnsi="Times New Roman;serif"/>
                  <w:b w:val="false"/>
                  <w:strike w:val="false"/>
                  <w:dstrike w:val="false"/>
                  <w:color w:val="000000"/>
                  <w:sz w:val="24"/>
                  <w:u w:val="none"/>
                  <w:effect w:val="none"/>
                </w:rPr>
                <w:t>Section 2.13    Interest on Loans.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a9481f00614b26bebebc3a4ea2318e">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9e4d89ca2094a0dbafe93fdfdd07f9f">
              <w:r>
                <w:rPr>
                  <w:rStyle w:val="InternetLink"/>
                  <w:rFonts w:ascii="Times New Roman;serif" w:hAnsi="Times New Roman;serif"/>
                  <w:b w:val="false"/>
                  <w:strike w:val="false"/>
                  <w:dstrike w:val="false"/>
                  <w:color w:val="000000"/>
                  <w:sz w:val="24"/>
                  <w:u w:val="none"/>
                  <w:effect w:val="none"/>
                </w:rPr>
                <w:t>Section 2.14    Fees.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e4d89ca2094a0dbafe93fdfdd07f9f">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e9eb29d02db48ca8514ffef1bb3e0d6">
              <w:r>
                <w:rPr>
                  <w:rStyle w:val="InternetLink"/>
                  <w:rFonts w:ascii="Times New Roman;serif" w:hAnsi="Times New Roman;serif"/>
                  <w:b w:val="false"/>
                  <w:strike w:val="false"/>
                  <w:dstrike w:val="false"/>
                  <w:color w:val="000000"/>
                  <w:sz w:val="24"/>
                  <w:u w:val="none"/>
                  <w:effect w:val="none"/>
                </w:rPr>
                <w:t>Section 2.15    Computation of Interest and Fees.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9eb29d02db48ca8514ffef1bb3e0d6">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050865afd74236838e8f67dce683ad">
              <w:r>
                <w:rPr>
                  <w:rStyle w:val="InternetLink"/>
                  <w:rFonts w:ascii="Times New Roman;serif" w:hAnsi="Times New Roman;serif"/>
                  <w:b w:val="false"/>
                  <w:strike w:val="false"/>
                  <w:dstrike w:val="false"/>
                  <w:color w:val="000000"/>
                  <w:sz w:val="24"/>
                  <w:u w:val="none"/>
                  <w:effect w:val="none"/>
                </w:rPr>
                <w:t>Section 2.16    Inability to Determine Interest Rates; Benchmark Replacement Setting.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050865afd74236838e8f67dce683ad">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9f247dddf2947c08c237c93629d084d">
              <w:r>
                <w:rPr>
                  <w:rStyle w:val="InternetLink"/>
                  <w:rFonts w:ascii="Times New Roman;serif" w:hAnsi="Times New Roman;serif"/>
                  <w:b w:val="false"/>
                  <w:strike w:val="false"/>
                  <w:dstrike w:val="false"/>
                  <w:color w:val="000000"/>
                  <w:sz w:val="24"/>
                  <w:u w:val="none"/>
                  <w:effect w:val="none"/>
                </w:rPr>
                <w:t>Section 2.17    Illegality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f247dddf2947c08c237c93629d084d">
              <w:r>
                <w:rPr>
                  <w:rStyle w:val="InternetLink"/>
                  <w:rFonts w:ascii="Times New Roman;serif" w:hAnsi="Times New Roman;serif"/>
                  <w:b w:val="false"/>
                  <w:strike w:val="false"/>
                  <w:dstrike w:val="false"/>
                  <w:color w:val="000000"/>
                  <w:sz w:val="24"/>
                  <w:u w:val="none"/>
                  <w:effect w:val="none"/>
                </w:rPr>
                <w:t>71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722942e441464ca37406ae177d3a31">
              <w:r>
                <w:rPr>
                  <w:rStyle w:val="InternetLink"/>
                  <w:rFonts w:ascii="Times New Roman;serif" w:hAnsi="Times New Roman;serif"/>
                  <w:b w:val="false"/>
                  <w:strike w:val="false"/>
                  <w:dstrike w:val="false"/>
                  <w:color w:val="000000"/>
                  <w:sz w:val="24"/>
                  <w:u w:val="none"/>
                  <w:effect w:val="none"/>
                </w:rPr>
                <w:t>Section 2.18    Increased Costs.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22942e441464ca37406ae177d3a31">
              <w:r>
                <w:rPr>
                  <w:rStyle w:val="InternetLink"/>
                  <w:rFonts w:ascii="Times New Roman;serif" w:hAnsi="Times New Roman;serif"/>
                  <w:b w:val="false"/>
                  <w:strike w:val="false"/>
                  <w:dstrike w:val="false"/>
                  <w:color w:val="000000"/>
                  <w:sz w:val="24"/>
                  <w:u w:val="none"/>
                  <w:effect w:val="none"/>
                </w:rPr>
                <w:t>72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f24aa5843d840029dd7e5014afb83c0">
              <w:r>
                <w:rPr>
                  <w:rStyle w:val="InternetLink"/>
                  <w:rFonts w:ascii="Times New Roman;serif" w:hAnsi="Times New Roman;serif"/>
                  <w:b w:val="false"/>
                  <w:strike w:val="false"/>
                  <w:dstrike w:val="false"/>
                  <w:color w:val="000000"/>
                  <w:sz w:val="24"/>
                  <w:u w:val="none"/>
                  <w:effect w:val="none"/>
                </w:rPr>
                <w:t>Section 2.19    Funding Indemnity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24aa5843d840029dd7e5014afb83c0">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c1c22bd9d354293a844c039153c8752">
              <w:r>
                <w:rPr>
                  <w:rStyle w:val="InternetLink"/>
                  <w:rFonts w:ascii="Times New Roman;serif" w:hAnsi="Times New Roman;serif"/>
                  <w:b w:val="false"/>
                  <w:strike w:val="false"/>
                  <w:dstrike w:val="false"/>
                  <w:color w:val="000000"/>
                  <w:sz w:val="24"/>
                  <w:u w:val="none"/>
                  <w:effect w:val="none"/>
                </w:rPr>
                <w:t>Section 2.20    Taxes.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1c22bd9d354293a844c039153c8752">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98475edd0154268ac098820fcc4a398">
              <w:r>
                <w:rPr>
                  <w:rStyle w:val="InternetLink"/>
                  <w:rFonts w:ascii="Times New Roman;serif" w:hAnsi="Times New Roman;serif"/>
                  <w:b w:val="false"/>
                  <w:strike w:val="false"/>
                  <w:dstrike w:val="false"/>
                  <w:color w:val="000000"/>
                  <w:sz w:val="24"/>
                  <w:u w:val="none"/>
                  <w:effect w:val="none"/>
                </w:rPr>
                <w:t>Section 2.21    Payments Generally; Pro Rata Treatment; Sharing of Set-offs.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8475edd0154268ac098820fcc4a398">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0c2337492e34e959896c7d56f8b5550">
              <w:r>
                <w:rPr>
                  <w:rStyle w:val="InternetLink"/>
                  <w:rFonts w:ascii="Times New Roman;serif" w:hAnsi="Times New Roman;serif"/>
                  <w:b w:val="false"/>
                  <w:strike w:val="false"/>
                  <w:dstrike w:val="false"/>
                  <w:color w:val="000000"/>
                  <w:sz w:val="24"/>
                  <w:u w:val="none"/>
                  <w:effect w:val="none"/>
                </w:rPr>
                <w:t>Section 2.22    Letters of Credit.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c2337492e34e959896c7d56f8b5550">
              <w:r>
                <w:rPr>
                  <w:rStyle w:val="InternetLink"/>
                  <w:rFonts w:ascii="Times New Roman;serif" w:hAnsi="Times New Roman;serif"/>
                  <w:b w:val="false"/>
                  <w:strike w:val="false"/>
                  <w:dstrike w:val="false"/>
                  <w:color w:val="000000"/>
                  <w:sz w:val="24"/>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8d0c9089934a3e9c4f72175eb36453">
              <w:r>
                <w:rPr>
                  <w:rStyle w:val="InternetLink"/>
                  <w:rFonts w:ascii="Times New Roman;serif" w:hAnsi="Times New Roman;serif"/>
                  <w:b w:val="false"/>
                  <w:strike w:val="false"/>
                  <w:dstrike w:val="false"/>
                  <w:color w:val="000000"/>
                  <w:sz w:val="24"/>
                  <w:u w:val="none"/>
                  <w:effect w:val="none"/>
                </w:rPr>
                <w:t>Section 2.23    Increase of Commitments; Additional Lenders.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8d0c9089934a3e9c4f72175eb36453">
              <w:r>
                <w:rPr>
                  <w:rStyle w:val="InternetLink"/>
                  <w:rFonts w:ascii="Times New Roman;serif" w:hAnsi="Times New Roman;serif"/>
                  <w:b w:val="false"/>
                  <w:strike w:val="false"/>
                  <w:dstrike w:val="false"/>
                  <w:color w:val="000000"/>
                  <w:sz w:val="24"/>
                  <w:u w:val="none"/>
                  <w:effect w:val="none"/>
                </w:rPr>
                <w:t>82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036955"/>
                <wp:effectExtent l="0" t="0" r="0" b="0"/>
                <wp:wrapNone/>
                <wp:docPr id="122" name="Frame12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8295" w:type="dxa"/>
        <w:jc w:val="left"/>
        <w:tblInd w:w="0" w:type="dxa"/>
        <w:tblLayout w:type="fixed"/>
        <w:tblCellMar>
          <w:top w:w="28" w:type="dxa"/>
          <w:left w:w="28" w:type="dxa"/>
          <w:bottom w:w="28" w:type="dxa"/>
          <w:right w:w="28" w:type="dxa"/>
        </w:tblCellMar>
      </w:tblPr>
      <w:tblGrid>
        <w:gridCol w:w="2818"/>
        <w:gridCol w:w="2480"/>
        <w:gridCol w:w="2486"/>
        <w:gridCol w:w="148"/>
        <w:gridCol w:w="148"/>
        <w:gridCol w:w="215"/>
      </w:tblGrid>
      <w:tr>
        <w:trPr/>
        <w:tc>
          <w:tcPr>
            <w:tcW w:w="2818"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12097674a64cf28c84e2a359bae1f0">
              <w:r>
                <w:rPr>
                  <w:rStyle w:val="InternetLink"/>
                  <w:rFonts w:ascii="Times New Roman;serif" w:hAnsi="Times New Roman;serif"/>
                  <w:b w:val="false"/>
                  <w:strike w:val="false"/>
                  <w:dstrike w:val="false"/>
                  <w:color w:val="000000"/>
                  <w:sz w:val="24"/>
                  <w:u w:val="none"/>
                  <w:effect w:val="none"/>
                </w:rPr>
                <w:t>Section 2.24    Mitigation of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12097674a64cf28c84e2a359bae1f0">
              <w:r>
                <w:rPr>
                  <w:rStyle w:val="InternetLink"/>
                  <w:rFonts w:ascii="Times New Roman;serif" w:hAnsi="Times New Roman;serif"/>
                  <w:b w:val="false"/>
                  <w:strike w:val="false"/>
                  <w:dstrike w:val="false"/>
                  <w:color w:val="000000"/>
                  <w:sz w:val="24"/>
                  <w:u w:val="none"/>
                  <w:effect w:val="none"/>
                </w:rPr>
                <w:t>86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5b39f81a3c419985f2604d7aada189">
              <w:r>
                <w:rPr>
                  <w:rStyle w:val="InternetLink"/>
                  <w:rFonts w:ascii="Times New Roman;serif" w:hAnsi="Times New Roman;serif"/>
                  <w:b w:val="false"/>
                  <w:strike w:val="false"/>
                  <w:dstrike w:val="false"/>
                  <w:color w:val="000000"/>
                  <w:sz w:val="24"/>
                  <w:u w:val="none"/>
                  <w:effect w:val="none"/>
                </w:rPr>
                <w:t>Section 2.25    Replacement of Lenders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5b39f81a3c419985f2604d7aada189">
              <w:r>
                <w:rPr>
                  <w:rStyle w:val="InternetLink"/>
                  <w:rFonts w:ascii="Times New Roman;serif" w:hAnsi="Times New Roman;serif"/>
                  <w:b w:val="false"/>
                  <w:strike w:val="false"/>
                  <w:dstrike w:val="false"/>
                  <w:color w:val="000000"/>
                  <w:sz w:val="24"/>
                  <w:u w:val="none"/>
                  <w:effect w:val="none"/>
                </w:rPr>
                <w:t>86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0fc78cb80d4907abcf59ae6e1889f4">
              <w:r>
                <w:rPr>
                  <w:rStyle w:val="InternetLink"/>
                  <w:rFonts w:ascii="Times New Roman;serif" w:hAnsi="Times New Roman;serif"/>
                  <w:b w:val="false"/>
                  <w:strike w:val="false"/>
                  <w:dstrike w:val="false"/>
                  <w:color w:val="000000"/>
                  <w:sz w:val="24"/>
                  <w:u w:val="none"/>
                  <w:effect w:val="none"/>
                </w:rPr>
                <w:t>Section 2.26    Defaulting Lenders.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0fc78cb80d4907abcf59ae6e1889f4">
              <w:r>
                <w:rPr>
                  <w:rStyle w:val="InternetLink"/>
                  <w:rFonts w:ascii="Times New Roman;serif" w:hAnsi="Times New Roman;serif"/>
                  <w:b w:val="false"/>
                  <w:strike w:val="false"/>
                  <w:dstrike w:val="false"/>
                  <w:color w:val="000000"/>
                  <w:sz w:val="24"/>
                  <w:u w:val="none"/>
                  <w:effect w:val="none"/>
                </w:rPr>
                <w:t>86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a4edc2d8a9349a481bd350e940943e1">
              <w:r>
                <w:rPr>
                  <w:rStyle w:val="InternetLink"/>
                  <w:rFonts w:ascii="Times New Roman;serif" w:hAnsi="Times New Roman;serif"/>
                  <w:b w:val="false"/>
                  <w:strike w:val="false"/>
                  <w:dstrike w:val="false"/>
                  <w:color w:val="000000"/>
                  <w:sz w:val="24"/>
                  <w:u w:val="none"/>
                  <w:effect w:val="none"/>
                </w:rPr>
                <w:t>Section 2.27    Extended Facilities.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4edc2d8a9349a481bd350e940943e1">
              <w:r>
                <w:rPr>
                  <w:rStyle w:val="InternetLink"/>
                  <w:rFonts w:ascii="Times New Roman;serif" w:hAnsi="Times New Roman;serif"/>
                  <w:b w:val="false"/>
                  <w:strike w:val="false"/>
                  <w:dstrike w:val="false"/>
                  <w:color w:val="000000"/>
                  <w:sz w:val="24"/>
                  <w:u w:val="none"/>
                  <w:effect w:val="none"/>
                </w:rPr>
                <w:t>89</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de59b6a008a4f18bb3dce3135285760">
              <w:r>
                <w:rPr>
                  <w:rStyle w:val="InternetLink"/>
                  <w:rFonts w:ascii="Times New Roman;serif" w:hAnsi="Times New Roman;serif"/>
                  <w:b w:val="false"/>
                  <w:strike w:val="false"/>
                  <w:dstrike w:val="false"/>
                  <w:color w:val="000000"/>
                  <w:sz w:val="24"/>
                  <w:u w:val="none"/>
                  <w:effect w:val="none"/>
                </w:rPr>
                <w:t>Section 2.28    Refinancing Amendments.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e59b6a008a4f18bb3dce3135285760">
              <w:r>
                <w:rPr>
                  <w:rStyle w:val="InternetLink"/>
                  <w:rFonts w:ascii="Times New Roman;serif" w:hAnsi="Times New Roman;serif"/>
                  <w:b w:val="false"/>
                  <w:strike w:val="false"/>
                  <w:dstrike w:val="false"/>
                  <w:color w:val="000000"/>
                  <w:sz w:val="24"/>
                  <w:u w:val="none"/>
                  <w:effect w:val="none"/>
                </w:rPr>
                <w:t>91</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deca9d60bc44502a05dbe790378615c">
              <w:r>
                <w:rPr>
                  <w:rStyle w:val="InternetLink"/>
                  <w:rFonts w:ascii="Times New Roman;serif" w:hAnsi="Times New Roman;serif"/>
                  <w:b/>
                  <w:strike w:val="false"/>
                  <w:dstrike w:val="false"/>
                  <w:color w:val="000000"/>
                  <w:sz w:val="24"/>
                  <w:u w:val="none"/>
                  <w:effect w:val="none"/>
                </w:rPr>
                <w:t>Article III    </w:t>
                <w:br/>
                <w:br/>
                <w:t>CONDITIONS PRECEDENT TO LOANS AND LETTERS OF CREDIT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eca9d60bc44502a05dbe790378615c">
              <w:r>
                <w:rPr>
                  <w:rStyle w:val="InternetLink"/>
                  <w:rFonts w:ascii="Times New Roman;serif" w:hAnsi="Times New Roman;serif"/>
                  <w:b/>
                  <w:strike w:val="false"/>
                  <w:dstrike w:val="false"/>
                  <w:color w:val="000000"/>
                  <w:sz w:val="24"/>
                  <w:u w:val="none"/>
                  <w:effect w:val="none"/>
                </w:rPr>
                <w:t>92</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f87d20f67384755ba0bc87138e2f014">
              <w:r>
                <w:rPr>
                  <w:rStyle w:val="InternetLink"/>
                  <w:rFonts w:ascii="Times New Roman;serif" w:hAnsi="Times New Roman;serif"/>
                  <w:b w:val="false"/>
                  <w:strike w:val="false"/>
                  <w:dstrike w:val="false"/>
                  <w:color w:val="000000"/>
                  <w:sz w:val="24"/>
                  <w:u w:val="none"/>
                  <w:effect w:val="none"/>
                </w:rPr>
                <w:t>Section 3.1    Conditions to Effectiveness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87d20f67384755ba0bc87138e2f014">
              <w:r>
                <w:rPr>
                  <w:rStyle w:val="InternetLink"/>
                  <w:rFonts w:ascii="Times New Roman;serif" w:hAnsi="Times New Roman;serif"/>
                  <w:b w:val="false"/>
                  <w:strike w:val="false"/>
                  <w:dstrike w:val="false"/>
                  <w:color w:val="000000"/>
                  <w:sz w:val="24"/>
                  <w:u w:val="none"/>
                  <w:effect w:val="none"/>
                </w:rPr>
                <w:t>92</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880a6e9777f4fce8b3127c0a6a9156a">
              <w:r>
                <w:rPr>
                  <w:rStyle w:val="InternetLink"/>
                  <w:rFonts w:ascii="Times New Roman;serif" w:hAnsi="Times New Roman;serif"/>
                  <w:b w:val="false"/>
                  <w:strike w:val="false"/>
                  <w:dstrike w:val="false"/>
                  <w:color w:val="000000"/>
                  <w:sz w:val="24"/>
                  <w:u w:val="none"/>
                  <w:effect w:val="none"/>
                </w:rPr>
                <w:t>Section 3.2    Conditions to Each Credit Event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80a6e9777f4fce8b3127c0a6a9156a">
              <w:r>
                <w:rPr>
                  <w:rStyle w:val="InternetLink"/>
                  <w:rFonts w:ascii="Times New Roman;serif" w:hAnsi="Times New Roman;serif"/>
                  <w:b w:val="false"/>
                  <w:strike w:val="false"/>
                  <w:dstrike w:val="false"/>
                  <w:color w:val="000000"/>
                  <w:sz w:val="24"/>
                  <w:u w:val="none"/>
                  <w:effect w:val="none"/>
                </w:rPr>
                <w:t>94</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5410665b304423b8d9f36471ac45ee5">
              <w:r>
                <w:rPr>
                  <w:rStyle w:val="InternetLink"/>
                  <w:rFonts w:ascii="Times New Roman;serif" w:hAnsi="Times New Roman;serif"/>
                  <w:b w:val="false"/>
                  <w:strike w:val="false"/>
                  <w:dstrike w:val="false"/>
                  <w:color w:val="000000"/>
                  <w:sz w:val="24"/>
                  <w:u w:val="none"/>
                  <w:effect w:val="none"/>
                </w:rPr>
                <w:t>Section 3.3    Conditions to Delayed Draw Term Loan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410665b304423b8d9f36471ac45ee5">
              <w:r>
                <w:rPr>
                  <w:rStyle w:val="InternetLink"/>
                  <w:rFonts w:ascii="Times New Roman;serif" w:hAnsi="Times New Roman;serif"/>
                  <w:b w:val="false"/>
                  <w:strike w:val="false"/>
                  <w:dstrike w:val="false"/>
                  <w:color w:val="000000"/>
                  <w:sz w:val="24"/>
                  <w:u w:val="none"/>
                  <w:effect w:val="none"/>
                </w:rPr>
                <w:t>95</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fddf831ebb74b51b5e0920e67cc427b">
              <w:r>
                <w:rPr>
                  <w:rStyle w:val="InternetLink"/>
                  <w:rFonts w:ascii="Times New Roman;serif" w:hAnsi="Times New Roman;serif"/>
                  <w:b w:val="false"/>
                  <w:strike w:val="false"/>
                  <w:dstrike w:val="false"/>
                  <w:color w:val="000000"/>
                  <w:sz w:val="24"/>
                  <w:u w:val="none"/>
                  <w:effect w:val="none"/>
                </w:rPr>
                <w:t>Section 3.4    Delivery of Documents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ddf831ebb74b51b5e0920e67cc427b">
              <w:r>
                <w:rPr>
                  <w:rStyle w:val="InternetLink"/>
                  <w:rFonts w:ascii="Times New Roman;serif" w:hAnsi="Times New Roman;serif"/>
                  <w:b w:val="false"/>
                  <w:strike w:val="false"/>
                  <w:dstrike w:val="false"/>
                  <w:color w:val="000000"/>
                  <w:sz w:val="24"/>
                  <w:u w:val="none"/>
                  <w:effect w:val="none"/>
                </w:rPr>
                <w:t>95</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2df5e8d3144d7381deca0c7889fb5e">
              <w:r>
                <w:rPr>
                  <w:rStyle w:val="InternetLink"/>
                  <w:rFonts w:ascii="Times New Roman;serif" w:hAnsi="Times New Roman;serif"/>
                  <w:b/>
                  <w:strike w:val="false"/>
                  <w:dstrike w:val="false"/>
                  <w:color w:val="000000"/>
                  <w:sz w:val="24"/>
                  <w:u w:val="none"/>
                  <w:effect w:val="none"/>
                </w:rPr>
                <w:t>Article IV    </w:t>
                <w:br/>
                <w:br/>
                <w:t>REPRESENTATIONS AND WARRANTIES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2df5e8d3144d7381deca0c7889fb5e">
              <w:r>
                <w:rPr>
                  <w:rStyle w:val="InternetLink"/>
                  <w:rFonts w:ascii="Times New Roman;serif" w:hAnsi="Times New Roman;serif"/>
                  <w:b/>
                  <w:strike w:val="false"/>
                  <w:dstrike w:val="false"/>
                  <w:color w:val="000000"/>
                  <w:sz w:val="24"/>
                  <w:u w:val="none"/>
                  <w:effect w:val="none"/>
                </w:rPr>
                <w:t>96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fd46700106141a1b8d31d665642e323">
              <w:r>
                <w:rPr>
                  <w:rStyle w:val="InternetLink"/>
                  <w:rFonts w:ascii="Times New Roman;serif" w:hAnsi="Times New Roman;serif"/>
                  <w:b w:val="false"/>
                  <w:strike w:val="false"/>
                  <w:dstrike w:val="false"/>
                  <w:color w:val="000000"/>
                  <w:sz w:val="24"/>
                  <w:u w:val="none"/>
                  <w:effect w:val="none"/>
                </w:rPr>
                <w:t>Section 4.1    Existence; Power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d46700106141a1b8d31d665642e323">
              <w:r>
                <w:rPr>
                  <w:rStyle w:val="InternetLink"/>
                  <w:rFonts w:ascii="Times New Roman;serif" w:hAnsi="Times New Roman;serif"/>
                  <w:b w:val="false"/>
                  <w:strike w:val="false"/>
                  <w:dstrike w:val="false"/>
                  <w:color w:val="000000"/>
                  <w:sz w:val="24"/>
                  <w:u w:val="none"/>
                  <w:effect w:val="none"/>
                </w:rPr>
                <w:t>96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941fe87454a49f58ba4c68c65847dd7">
              <w:r>
                <w:rPr>
                  <w:rStyle w:val="InternetLink"/>
                  <w:rFonts w:ascii="Times New Roman;serif" w:hAnsi="Times New Roman;serif"/>
                  <w:b w:val="false"/>
                  <w:strike w:val="false"/>
                  <w:dstrike w:val="false"/>
                  <w:color w:val="000000"/>
                  <w:sz w:val="24"/>
                  <w:u w:val="none"/>
                  <w:effect w:val="none"/>
                </w:rPr>
                <w:t>Section 4.2    Organizational Power; Authorization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41fe87454a49f58ba4c68c65847dd7">
              <w:r>
                <w:rPr>
                  <w:rStyle w:val="InternetLink"/>
                  <w:rFonts w:ascii="Times New Roman;serif" w:hAnsi="Times New Roman;serif"/>
                  <w:b w:val="false"/>
                  <w:strike w:val="false"/>
                  <w:dstrike w:val="false"/>
                  <w:color w:val="000000"/>
                  <w:sz w:val="24"/>
                  <w:u w:val="none"/>
                  <w:effect w:val="none"/>
                </w:rPr>
                <w:t>96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8c94a4fc8ff4d9d8b6871e9a777cb41">
              <w:r>
                <w:rPr>
                  <w:rStyle w:val="InternetLink"/>
                  <w:rFonts w:ascii="Times New Roman;serif" w:hAnsi="Times New Roman;serif"/>
                  <w:b w:val="false"/>
                  <w:strike w:val="false"/>
                  <w:dstrike w:val="false"/>
                  <w:color w:val="000000"/>
                  <w:sz w:val="24"/>
                  <w:u w:val="none"/>
                  <w:effect w:val="none"/>
                </w:rPr>
                <w:t>Section 4.3    Governmental Approvals; No Conflicts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c94a4fc8ff4d9d8b6871e9a777cb41">
              <w:r>
                <w:rPr>
                  <w:rStyle w:val="InternetLink"/>
                  <w:rFonts w:ascii="Times New Roman;serif" w:hAnsi="Times New Roman;serif"/>
                  <w:b w:val="false"/>
                  <w:strike w:val="false"/>
                  <w:dstrike w:val="false"/>
                  <w:color w:val="000000"/>
                  <w:sz w:val="24"/>
                  <w:u w:val="none"/>
                  <w:effect w:val="none"/>
                </w:rPr>
                <w:t>96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c4ce4861c1c412f8313901ce1c33cd9">
              <w:r>
                <w:rPr>
                  <w:rStyle w:val="InternetLink"/>
                  <w:rFonts w:ascii="Times New Roman;serif" w:hAnsi="Times New Roman;serif"/>
                  <w:b w:val="false"/>
                  <w:strike w:val="false"/>
                  <w:dstrike w:val="false"/>
                  <w:color w:val="000000"/>
                  <w:sz w:val="24"/>
                  <w:u w:val="none"/>
                  <w:effect w:val="none"/>
                </w:rPr>
                <w:t>Section 4.4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4ce4861c1c412f8313901ce1c33cd9">
              <w:r>
                <w:rPr>
                  <w:rStyle w:val="InternetLink"/>
                  <w:rFonts w:ascii="Times New Roman;serif" w:hAnsi="Times New Roman;serif"/>
                  <w:b w:val="false"/>
                  <w:strike w:val="false"/>
                  <w:dstrike w:val="false"/>
                  <w:color w:val="000000"/>
                  <w:sz w:val="24"/>
                  <w:u w:val="none"/>
                  <w:effect w:val="none"/>
                </w:rPr>
                <w:t>96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c50daaae2854f4bbd536aca92cdfe55">
              <w:r>
                <w:rPr>
                  <w:rStyle w:val="InternetLink"/>
                  <w:rFonts w:ascii="Times New Roman;serif" w:hAnsi="Times New Roman;serif"/>
                  <w:b w:val="false"/>
                  <w:strike w:val="false"/>
                  <w:dstrike w:val="false"/>
                  <w:color w:val="000000"/>
                  <w:sz w:val="24"/>
                  <w:u w:val="none"/>
                  <w:effect w:val="none"/>
                </w:rPr>
                <w:t>Section 4.5    Litigation and Environmental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50daaae2854f4bbd536aca92cdfe55">
              <w:r>
                <w:rPr>
                  <w:rStyle w:val="InternetLink"/>
                  <w:rFonts w:ascii="Times New Roman;serif" w:hAnsi="Times New Roman;serif"/>
                  <w:b w:val="false"/>
                  <w:strike w:val="false"/>
                  <w:dstrike w:val="false"/>
                  <w:color w:val="000000"/>
                  <w:sz w:val="24"/>
                  <w:u w:val="none"/>
                  <w:effect w:val="none"/>
                </w:rPr>
                <w:t>96</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9beed4583754f118d574682f08da892">
              <w:r>
                <w:rPr>
                  <w:rStyle w:val="InternetLink"/>
                  <w:rFonts w:ascii="Times New Roman;serif" w:hAnsi="Times New Roman;serif"/>
                  <w:b w:val="false"/>
                  <w:strike w:val="false"/>
                  <w:dstrike w:val="false"/>
                  <w:color w:val="000000"/>
                  <w:sz w:val="24"/>
                  <w:u w:val="none"/>
                  <w:effect w:val="none"/>
                </w:rPr>
                <w:t>Section 4.6    Compliance with Laws and Agreements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beed4583754f118d574682f08da892">
              <w:r>
                <w:rPr>
                  <w:rStyle w:val="InternetLink"/>
                  <w:rFonts w:ascii="Times New Roman;serif" w:hAnsi="Times New Roman;serif"/>
                  <w:b w:val="false"/>
                  <w:strike w:val="false"/>
                  <w:dstrike w:val="false"/>
                  <w:color w:val="000000"/>
                  <w:sz w:val="24"/>
                  <w:u w:val="none"/>
                  <w:effect w:val="none"/>
                </w:rPr>
                <w:t>97</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510590a025849a293cf902906428446">
              <w:r>
                <w:rPr>
                  <w:rStyle w:val="InternetLink"/>
                  <w:rFonts w:ascii="Times New Roman;serif" w:hAnsi="Times New Roman;serif"/>
                  <w:b w:val="false"/>
                  <w:strike w:val="false"/>
                  <w:dstrike w:val="false"/>
                  <w:color w:val="000000"/>
                  <w:sz w:val="24"/>
                  <w:u w:val="none"/>
                  <w:effect w:val="none"/>
                </w:rPr>
                <w:t>Section 4.7    Investment Company Act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10590a025849a293cf902906428446">
              <w:r>
                <w:rPr>
                  <w:rStyle w:val="InternetLink"/>
                  <w:rFonts w:ascii="Times New Roman;serif" w:hAnsi="Times New Roman;serif"/>
                  <w:b w:val="false"/>
                  <w:strike w:val="false"/>
                  <w:dstrike w:val="false"/>
                  <w:color w:val="000000"/>
                  <w:sz w:val="24"/>
                  <w:u w:val="none"/>
                  <w:effect w:val="none"/>
                </w:rPr>
                <w:t>97</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aa41cd46188443f90b539e54498268a">
              <w:r>
                <w:rPr>
                  <w:rStyle w:val="InternetLink"/>
                  <w:rFonts w:ascii="Times New Roman;serif" w:hAnsi="Times New Roman;serif"/>
                  <w:b w:val="false"/>
                  <w:strike w:val="false"/>
                  <w:dstrike w:val="false"/>
                  <w:color w:val="000000"/>
                  <w:sz w:val="24"/>
                  <w:u w:val="none"/>
                  <w:effect w:val="none"/>
                </w:rPr>
                <w:t>Section 4.8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a41cd46188443f90b539e54498268a">
              <w:r>
                <w:rPr>
                  <w:rStyle w:val="InternetLink"/>
                  <w:rFonts w:ascii="Times New Roman;serif" w:hAnsi="Times New Roman;serif"/>
                  <w:b w:val="false"/>
                  <w:strike w:val="false"/>
                  <w:dstrike w:val="false"/>
                  <w:color w:val="000000"/>
                  <w:sz w:val="24"/>
                  <w:u w:val="none"/>
                  <w:effect w:val="none"/>
                </w:rPr>
                <w:t>97</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e0078b693db4676aac39b2b20778687">
              <w:r>
                <w:rPr>
                  <w:rStyle w:val="InternetLink"/>
                  <w:rFonts w:ascii="Times New Roman;serif" w:hAnsi="Times New Roman;serif"/>
                  <w:b w:val="false"/>
                  <w:strike w:val="false"/>
                  <w:dstrike w:val="false"/>
                  <w:color w:val="000000"/>
                  <w:sz w:val="24"/>
                  <w:u w:val="none"/>
                  <w:effect w:val="none"/>
                </w:rPr>
                <w:t>Section 4.9    Margin Regulations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0078b693db4676aac39b2b20778687">
              <w:r>
                <w:rPr>
                  <w:rStyle w:val="InternetLink"/>
                  <w:rFonts w:ascii="Times New Roman;serif" w:hAnsi="Times New Roman;serif"/>
                  <w:b w:val="false"/>
                  <w:strike w:val="false"/>
                  <w:dstrike w:val="false"/>
                  <w:color w:val="000000"/>
                  <w:sz w:val="24"/>
                  <w:u w:val="none"/>
                  <w:effect w:val="none"/>
                </w:rPr>
                <w:t>97</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698f09a7e84dcab2792d7a04f5161b">
              <w:r>
                <w:rPr>
                  <w:rStyle w:val="InternetLink"/>
                  <w:rFonts w:ascii="Times New Roman;serif" w:hAnsi="Times New Roman;serif"/>
                  <w:b w:val="false"/>
                  <w:strike w:val="false"/>
                  <w:dstrike w:val="false"/>
                  <w:color w:val="000000"/>
                  <w:sz w:val="24"/>
                  <w:u w:val="none"/>
                  <w:effect w:val="none"/>
                </w:rPr>
                <w:t>Section 4.10    ERISA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698f09a7e84dcab2792d7a04f5161b">
              <w:r>
                <w:rPr>
                  <w:rStyle w:val="InternetLink"/>
                  <w:rFonts w:ascii="Times New Roman;serif" w:hAnsi="Times New Roman;serif"/>
                  <w:b w:val="false"/>
                  <w:strike w:val="false"/>
                  <w:dstrike w:val="false"/>
                  <w:color w:val="000000"/>
                  <w:sz w:val="24"/>
                  <w:u w:val="none"/>
                  <w:effect w:val="none"/>
                </w:rPr>
                <w:t>97</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81828b8b8004c0ca91f7d3b82af43f2">
              <w:r>
                <w:rPr>
                  <w:rStyle w:val="InternetLink"/>
                  <w:rFonts w:ascii="Times New Roman;serif" w:hAnsi="Times New Roman;serif"/>
                  <w:b w:val="false"/>
                  <w:strike w:val="false"/>
                  <w:dstrike w:val="false"/>
                  <w:color w:val="000000"/>
                  <w:sz w:val="24"/>
                  <w:u w:val="none"/>
                  <w:effect w:val="none"/>
                </w:rPr>
                <w:t>Section 4.11    Ownership of Property; Intellectual Property; Insurance.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1828b8b8004c0ca91f7d3b82af43f2">
              <w:r>
                <w:rPr>
                  <w:rStyle w:val="InternetLink"/>
                  <w:rFonts w:ascii="Times New Roman;serif" w:hAnsi="Times New Roman;serif"/>
                  <w:b w:val="false"/>
                  <w:strike w:val="false"/>
                  <w:dstrike w:val="false"/>
                  <w:color w:val="000000"/>
                  <w:sz w:val="24"/>
                  <w:u w:val="none"/>
                  <w:effect w:val="none"/>
                </w:rPr>
                <w:t>98</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fab9ba58aeb4af19803de85e0958912">
              <w:r>
                <w:rPr>
                  <w:rStyle w:val="InternetLink"/>
                  <w:rFonts w:ascii="Times New Roman;serif" w:hAnsi="Times New Roman;serif"/>
                  <w:b w:val="false"/>
                  <w:strike w:val="false"/>
                  <w:dstrike w:val="false"/>
                  <w:color w:val="000000"/>
                  <w:sz w:val="24"/>
                  <w:u w:val="none"/>
                  <w:effect w:val="none"/>
                </w:rPr>
                <w:t>Section 4.12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ab9ba58aeb4af19803de85e0958912">
              <w:r>
                <w:rPr>
                  <w:rStyle w:val="InternetLink"/>
                  <w:rFonts w:ascii="Times New Roman;serif" w:hAnsi="Times New Roman;serif"/>
                  <w:b w:val="false"/>
                  <w:strike w:val="false"/>
                  <w:dstrike w:val="false"/>
                  <w:color w:val="000000"/>
                  <w:sz w:val="24"/>
                  <w:u w:val="none"/>
                  <w:effect w:val="none"/>
                </w:rPr>
                <w:t>98</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836ac253ff740b59943383d5ab43e77">
              <w:r>
                <w:rPr>
                  <w:rStyle w:val="InternetLink"/>
                  <w:rFonts w:ascii="Times New Roman;serif" w:hAnsi="Times New Roman;serif"/>
                  <w:b w:val="false"/>
                  <w:strike w:val="false"/>
                  <w:dstrike w:val="false"/>
                  <w:color w:val="000000"/>
                  <w:sz w:val="24"/>
                  <w:u w:val="none"/>
                  <w:effect w:val="none"/>
                </w:rPr>
                <w:t>Section 4.13    Labor Relations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36ac253ff740b59943383d5ab43e77">
              <w:r>
                <w:rPr>
                  <w:rStyle w:val="InternetLink"/>
                  <w:rFonts w:ascii="Times New Roman;serif" w:hAnsi="Times New Roman;serif"/>
                  <w:b w:val="false"/>
                  <w:strike w:val="false"/>
                  <w:dstrike w:val="false"/>
                  <w:color w:val="000000"/>
                  <w:sz w:val="24"/>
                  <w:u w:val="none"/>
                  <w:effect w:val="none"/>
                </w:rPr>
                <w:t>99</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50124457404e139173c3c34b78ec2c">
              <w:r>
                <w:rPr>
                  <w:rStyle w:val="InternetLink"/>
                  <w:rFonts w:ascii="Times New Roman;serif" w:hAnsi="Times New Roman;serif"/>
                  <w:b w:val="false"/>
                  <w:strike w:val="false"/>
                  <w:dstrike w:val="false"/>
                  <w:color w:val="000000"/>
                  <w:sz w:val="24"/>
                  <w:u w:val="none"/>
                  <w:effect w:val="none"/>
                </w:rPr>
                <w:t>Section 4.14    Subsidiaries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50124457404e139173c3c34b78ec2c">
              <w:r>
                <w:rPr>
                  <w:rStyle w:val="InternetLink"/>
                  <w:rFonts w:ascii="Times New Roman;serif" w:hAnsi="Times New Roman;serif"/>
                  <w:b w:val="false"/>
                  <w:strike w:val="false"/>
                  <w:dstrike w:val="false"/>
                  <w:color w:val="000000"/>
                  <w:sz w:val="24"/>
                  <w:u w:val="none"/>
                  <w:effect w:val="none"/>
                </w:rPr>
                <w:t>99</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b0ecc023e1d4e679e7ec80b68889030">
              <w:r>
                <w:rPr>
                  <w:rStyle w:val="InternetLink"/>
                  <w:rFonts w:ascii="Times New Roman;serif" w:hAnsi="Times New Roman;serif"/>
                  <w:b w:val="false"/>
                  <w:strike w:val="false"/>
                  <w:dstrike w:val="false"/>
                  <w:color w:val="000000"/>
                  <w:sz w:val="24"/>
                  <w:u w:val="none"/>
                  <w:effect w:val="none"/>
                </w:rPr>
                <w:t>Section 4.15    Solvency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0ecc023e1d4e679e7ec80b68889030">
              <w:r>
                <w:rPr>
                  <w:rStyle w:val="InternetLink"/>
                  <w:rFonts w:ascii="Times New Roman;serif" w:hAnsi="Times New Roman;serif"/>
                  <w:b w:val="false"/>
                  <w:strike w:val="false"/>
                  <w:dstrike w:val="false"/>
                  <w:color w:val="000000"/>
                  <w:sz w:val="24"/>
                  <w:u w:val="none"/>
                  <w:effect w:val="none"/>
                </w:rPr>
                <w:t>99</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53f1cf2ec35433fa6394567032fd41d">
              <w:r>
                <w:rPr>
                  <w:rStyle w:val="InternetLink"/>
                  <w:rFonts w:ascii="Times New Roman;serif" w:hAnsi="Times New Roman;serif"/>
                  <w:b w:val="false"/>
                  <w:strike w:val="false"/>
                  <w:dstrike w:val="false"/>
                  <w:color w:val="000000"/>
                  <w:sz w:val="24"/>
                  <w:u w:val="none"/>
                  <w:effect w:val="none"/>
                </w:rPr>
                <w:t>Section 4.16    [Reserved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3f1cf2ec35433fa6394567032fd41d">
              <w:r>
                <w:rPr>
                  <w:rStyle w:val="InternetLink"/>
                  <w:rFonts w:ascii="Times New Roman;serif" w:hAnsi="Times New Roman;serif"/>
                  <w:b w:val="false"/>
                  <w:strike w:val="false"/>
                  <w:dstrike w:val="false"/>
                  <w:color w:val="000000"/>
                  <w:sz w:val="24"/>
                  <w:u w:val="none"/>
                  <w:effect w:val="none"/>
                </w:rPr>
                <w:t>99</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e90ba8014034a50bae763e1a0dd79e8">
              <w:r>
                <w:rPr>
                  <w:rStyle w:val="InternetLink"/>
                  <w:rFonts w:ascii="Times New Roman;serif" w:hAnsi="Times New Roman;serif"/>
                  <w:b w:val="false"/>
                  <w:strike w:val="false"/>
                  <w:dstrike w:val="false"/>
                  <w:color w:val="000000"/>
                  <w:sz w:val="24"/>
                  <w:u w:val="none"/>
                  <w:effect w:val="none"/>
                </w:rPr>
                <w:t>Section 4.17    Collateral Documents.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90ba8014034a50bae763e1a0dd79e8">
              <w:r>
                <w:rPr>
                  <w:rStyle w:val="InternetLink"/>
                  <w:rFonts w:ascii="Times New Roman;serif" w:hAnsi="Times New Roman;serif"/>
                  <w:b w:val="false"/>
                  <w:strike w:val="false"/>
                  <w:dstrike w:val="false"/>
                  <w:color w:val="000000"/>
                  <w:sz w:val="24"/>
                  <w:u w:val="none"/>
                  <w:effect w:val="none"/>
                </w:rPr>
                <w:t>99</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930459017ca4c4bb961e94ab4546b74">
              <w:r>
                <w:rPr>
                  <w:rStyle w:val="InternetLink"/>
                  <w:rFonts w:ascii="Times New Roman;serif" w:hAnsi="Times New Roman;serif"/>
                  <w:b w:val="false"/>
                  <w:strike w:val="false"/>
                  <w:dstrike w:val="false"/>
                  <w:color w:val="000000"/>
                  <w:sz w:val="24"/>
                  <w:u w:val="none"/>
                  <w:effect w:val="none"/>
                </w:rPr>
                <w:t>Section 4.18    [Reserved]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30459017ca4c4bb961e94ab4546b74">
              <w:r>
                <w:rPr>
                  <w:rStyle w:val="InternetLink"/>
                  <w:rFonts w:ascii="Times New Roman;serif" w:hAnsi="Times New Roman;serif"/>
                  <w:b w:val="false"/>
                  <w:strike w:val="false"/>
                  <w:dstrike w:val="false"/>
                  <w:color w:val="000000"/>
                  <w:sz w:val="24"/>
                  <w:u w:val="none"/>
                  <w:effect w:val="none"/>
                </w:rPr>
                <w:t>100</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9c5c29ef52460dad34a1805415b33b">
              <w:r>
                <w:rPr>
                  <w:rStyle w:val="InternetLink"/>
                  <w:rFonts w:ascii="Times New Roman;serif" w:hAnsi="Times New Roman;serif"/>
                  <w:b w:val="false"/>
                  <w:strike w:val="false"/>
                  <w:dstrike w:val="false"/>
                  <w:color w:val="000000"/>
                  <w:sz w:val="24"/>
                  <w:u w:val="none"/>
                  <w:effect w:val="none"/>
                </w:rPr>
                <w:t>Section 4.19    Outbound Investments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9c5c29ef52460dad34a1805415b33b">
              <w:r>
                <w:rPr>
                  <w:rStyle w:val="InternetLink"/>
                  <w:rFonts w:ascii="Times New Roman;serif" w:hAnsi="Times New Roman;serif"/>
                  <w:b w:val="false"/>
                  <w:strike w:val="false"/>
                  <w:dstrike w:val="false"/>
                  <w:color w:val="000000"/>
                  <w:sz w:val="24"/>
                  <w:u w:val="none"/>
                  <w:effect w:val="none"/>
                </w:rPr>
                <w:t>100</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fa571a7d70a4b7d8c20499769ff0665">
              <w:r>
                <w:rPr>
                  <w:rStyle w:val="InternetLink"/>
                  <w:rFonts w:ascii="Times New Roman;serif" w:hAnsi="Times New Roman;serif"/>
                  <w:b w:val="false"/>
                  <w:strike w:val="false"/>
                  <w:dstrike w:val="false"/>
                  <w:color w:val="000000"/>
                  <w:sz w:val="24"/>
                  <w:u w:val="none"/>
                  <w:effect w:val="none"/>
                </w:rPr>
                <w:t>Section 4.20    Sanctions and Anti-Corruption Laws.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a571a7d70a4b7d8c20499769ff0665">
              <w:r>
                <w:rPr>
                  <w:rStyle w:val="InternetLink"/>
                  <w:rFonts w:ascii="Times New Roman;serif" w:hAnsi="Times New Roman;serif"/>
                  <w:b w:val="false"/>
                  <w:strike w:val="false"/>
                  <w:dstrike w:val="false"/>
                  <w:color w:val="000000"/>
                  <w:sz w:val="24"/>
                  <w:u w:val="none"/>
                  <w:effect w:val="none"/>
                </w:rPr>
                <w:t>100</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09abe25b19c49f4a18cebda3d44a65f">
              <w:r>
                <w:rPr>
                  <w:rStyle w:val="InternetLink"/>
                  <w:rFonts w:ascii="Times New Roman;serif" w:hAnsi="Times New Roman;serif"/>
                  <w:b w:val="false"/>
                  <w:strike w:val="false"/>
                  <w:dstrike w:val="false"/>
                  <w:color w:val="000000"/>
                  <w:sz w:val="24"/>
                  <w:u w:val="none"/>
                  <w:effect w:val="none"/>
                </w:rPr>
                <w:t>Section 4.21    Affected Financial Institutions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9abe25b19c49f4a18cebda3d44a65f">
              <w:r>
                <w:rPr>
                  <w:rStyle w:val="InternetLink"/>
                  <w:rFonts w:ascii="Times New Roman;serif" w:hAnsi="Times New Roman;serif"/>
                  <w:b w:val="false"/>
                  <w:strike w:val="false"/>
                  <w:dstrike w:val="false"/>
                  <w:color w:val="000000"/>
                  <w:sz w:val="24"/>
                  <w:u w:val="none"/>
                  <w:effect w:val="none"/>
                </w:rPr>
                <w:t>100</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3921d2987724b2793f1958e45134deb">
              <w:r>
                <w:rPr>
                  <w:rStyle w:val="InternetLink"/>
                  <w:rFonts w:ascii="Times New Roman;serif" w:hAnsi="Times New Roman;serif"/>
                  <w:b w:val="false"/>
                  <w:strike w:val="false"/>
                  <w:dstrike w:val="false"/>
                  <w:color w:val="000000"/>
                  <w:sz w:val="24"/>
                  <w:u w:val="none"/>
                  <w:effect w:val="none"/>
                </w:rPr>
                <w:t>Section 4.22    Healthcare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921d2987724b2793f1958e45134deb">
              <w:r>
                <w:rPr>
                  <w:rStyle w:val="InternetLink"/>
                  <w:rFonts w:ascii="Times New Roman;serif" w:hAnsi="Times New Roman;serif"/>
                  <w:b w:val="false"/>
                  <w:strike w:val="false"/>
                  <w:dstrike w:val="false"/>
                  <w:color w:val="000000"/>
                  <w:sz w:val="24"/>
                  <w:u w:val="none"/>
                  <w:effect w:val="none"/>
                </w:rPr>
                <w:t>100</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3fa05378a98471fa0d0fa3c96515b97">
              <w:r>
                <w:rPr>
                  <w:rStyle w:val="InternetLink"/>
                  <w:rFonts w:ascii="Times New Roman;serif" w:hAnsi="Times New Roman;serif"/>
                  <w:b w:val="false"/>
                  <w:strike w:val="false"/>
                  <w:dstrike w:val="false"/>
                  <w:color w:val="000000"/>
                  <w:sz w:val="24"/>
                  <w:u w:val="none"/>
                  <w:effect w:val="none"/>
                </w:rPr>
                <w:t>Section 4.23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fa05378a98471fa0d0fa3c96515b97">
              <w:r>
                <w:rPr>
                  <w:rStyle w:val="InternetLink"/>
                  <w:rFonts w:ascii="Times New Roman;serif" w:hAnsi="Times New Roman;serif"/>
                  <w:b w:val="false"/>
                  <w:strike w:val="false"/>
                  <w:dstrike w:val="false"/>
                  <w:color w:val="000000"/>
                  <w:sz w:val="24"/>
                  <w:u w:val="none"/>
                  <w:effect w:val="none"/>
                </w:rPr>
                <w:t>102</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8dad95670e04359af4f9a10452361b4">
              <w:r>
                <w:rPr>
                  <w:rStyle w:val="InternetLink"/>
                  <w:rFonts w:ascii="Times New Roman;serif" w:hAnsi="Times New Roman;serif"/>
                  <w:b/>
                  <w:strike w:val="false"/>
                  <w:dstrike w:val="false"/>
                  <w:color w:val="000000"/>
                  <w:sz w:val="24"/>
                  <w:u w:val="none"/>
                  <w:effect w:val="none"/>
                </w:rPr>
                <w:t>Article V    </w:t>
                <w:br/>
                <w:br/>
                <w:t>AFFIRMATIVE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dad95670e04359af4f9a10452361b4">
              <w:r>
                <w:rPr>
                  <w:rStyle w:val="InternetLink"/>
                  <w:rFonts w:ascii="Times New Roman;serif" w:hAnsi="Times New Roman;serif"/>
                  <w:b/>
                  <w:strike w:val="false"/>
                  <w:dstrike w:val="false"/>
                  <w:color w:val="000000"/>
                  <w:sz w:val="24"/>
                  <w:u w:val="none"/>
                  <w:effect w:val="none"/>
                </w:rPr>
                <w:t>102</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1d8f91df38450e97bcaecbfb45db45">
              <w:r>
                <w:rPr>
                  <w:rStyle w:val="InternetLink"/>
                  <w:rFonts w:ascii="Times New Roman;serif" w:hAnsi="Times New Roman;serif"/>
                  <w:b w:val="false"/>
                  <w:strike w:val="false"/>
                  <w:dstrike w:val="false"/>
                  <w:color w:val="000000"/>
                  <w:sz w:val="24"/>
                  <w:u w:val="none"/>
                  <w:effect w:val="none"/>
                </w:rPr>
                <w:t>Section 5.1    Financial Statements and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1d8f91df38450e97bcaecbfb45db45">
              <w:r>
                <w:rPr>
                  <w:rStyle w:val="InternetLink"/>
                  <w:rFonts w:ascii="Times New Roman;serif" w:hAnsi="Times New Roman;serif"/>
                  <w:b w:val="false"/>
                  <w:strike w:val="false"/>
                  <w:dstrike w:val="false"/>
                  <w:color w:val="000000"/>
                  <w:sz w:val="24"/>
                  <w:u w:val="none"/>
                  <w:effect w:val="none"/>
                </w:rPr>
                <w:t>102</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8db5e96a394f3b928eb679a39c7df9">
              <w:r>
                <w:rPr>
                  <w:rStyle w:val="InternetLink"/>
                  <w:rFonts w:ascii="Times New Roman;serif" w:hAnsi="Times New Roman;serif"/>
                  <w:b w:val="false"/>
                  <w:strike w:val="false"/>
                  <w:dstrike w:val="false"/>
                  <w:color w:val="000000"/>
                  <w:sz w:val="24"/>
                  <w:u w:val="none"/>
                  <w:effect w:val="none"/>
                </w:rPr>
                <w:t>Section 5.2    Notices of Material Events.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8db5e96a394f3b928eb679a39c7df9">
              <w:r>
                <w:rPr>
                  <w:rStyle w:val="InternetLink"/>
                  <w:rFonts w:ascii="Times New Roman;serif" w:hAnsi="Times New Roman;serif"/>
                  <w:b w:val="false"/>
                  <w:strike w:val="false"/>
                  <w:dstrike w:val="false"/>
                  <w:color w:val="000000"/>
                  <w:sz w:val="24"/>
                  <w:u w:val="none"/>
                  <w:effect w:val="none"/>
                </w:rPr>
                <w:t>104</w:t>
              </w:r>
            </w:hyperlink>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827abb577e5410a89b68aa9acd20c4f">
              <w:r>
                <w:rPr>
                  <w:rStyle w:val="InternetLink"/>
                  <w:rFonts w:ascii="Times New Roman;serif" w:hAnsi="Times New Roman;serif"/>
                  <w:b w:val="false"/>
                  <w:strike w:val="false"/>
                  <w:dstrike w:val="false"/>
                  <w:color w:val="000000"/>
                  <w:sz w:val="24"/>
                  <w:u w:val="none"/>
                  <w:effect w:val="none"/>
                </w:rPr>
                <w:t>Section 5.3    Existence; Conduct of 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7abb577e5410a89b68aa9acd20c4f">
              <w:r>
                <w:rPr>
                  <w:rStyle w:val="InternetLink"/>
                  <w:rFonts w:ascii="Times New Roman;serif" w:hAnsi="Times New Roman;serif"/>
                  <w:b w:val="false"/>
                  <w:strike w:val="false"/>
                  <w:dstrike w:val="false"/>
                  <w:color w:val="000000"/>
                  <w:sz w:val="24"/>
                  <w:u w:val="none"/>
                  <w:effect w:val="none"/>
                </w:rPr>
                <w:t>105</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036955"/>
                <wp:effectExtent l="0" t="0" r="0" b="0"/>
                <wp:wrapNone/>
                <wp:docPr id="123" name="Frame12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6076" w:type="dxa"/>
        <w:jc w:val="left"/>
        <w:tblInd w:w="0" w:type="dxa"/>
        <w:tblLayout w:type="fixed"/>
        <w:tblCellMar>
          <w:top w:w="28" w:type="dxa"/>
          <w:left w:w="28" w:type="dxa"/>
          <w:bottom w:w="28" w:type="dxa"/>
          <w:right w:w="28" w:type="dxa"/>
        </w:tblCellMar>
      </w:tblPr>
      <w:tblGrid>
        <w:gridCol w:w="2014"/>
        <w:gridCol w:w="1770"/>
        <w:gridCol w:w="1781"/>
        <w:gridCol w:w="149"/>
        <w:gridCol w:w="149"/>
        <w:gridCol w:w="213"/>
      </w:tblGrid>
      <w:tr>
        <w:trPr/>
        <w:tc>
          <w:tcPr>
            <w:tcW w:w="201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04b3208fb4a4c349e27a474163d880d">
              <w:r>
                <w:rPr>
                  <w:rStyle w:val="InternetLink"/>
                  <w:rFonts w:ascii="Times New Roman;serif" w:hAnsi="Times New Roman;serif"/>
                  <w:b w:val="false"/>
                  <w:strike w:val="false"/>
                  <w:dstrike w:val="false"/>
                  <w:color w:val="000000"/>
                  <w:sz w:val="24"/>
                  <w:u w:val="none"/>
                  <w:effect w:val="none"/>
                </w:rPr>
                <w:t>Section 5.4    Compliance with Laws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4b3208fb4a4c349e27a474163d880d">
              <w:r>
                <w:rPr>
                  <w:rStyle w:val="InternetLink"/>
                  <w:rFonts w:ascii="Times New Roman;serif" w:hAnsi="Times New Roman;serif"/>
                  <w:b w:val="false"/>
                  <w:strike w:val="false"/>
                  <w:dstrike w:val="false"/>
                  <w:color w:val="000000"/>
                  <w:sz w:val="24"/>
                  <w:u w:val="none"/>
                  <w:effect w:val="none"/>
                </w:rPr>
                <w:t>105</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1b17c43318845d1996677bffa503615">
              <w:r>
                <w:rPr>
                  <w:rStyle w:val="InternetLink"/>
                  <w:rFonts w:ascii="Times New Roman;serif" w:hAnsi="Times New Roman;serif"/>
                  <w:b w:val="false"/>
                  <w:strike w:val="false"/>
                  <w:dstrike w:val="false"/>
                  <w:color w:val="000000"/>
                  <w:sz w:val="24"/>
                  <w:u w:val="none"/>
                  <w:effect w:val="none"/>
                </w:rPr>
                <w:t>Section 5.5    Payment of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b17c43318845d1996677bffa503615">
              <w:r>
                <w:rPr>
                  <w:rStyle w:val="InternetLink"/>
                  <w:rFonts w:ascii="Times New Roman;serif" w:hAnsi="Times New Roman;serif"/>
                  <w:b w:val="false"/>
                  <w:strike w:val="false"/>
                  <w:dstrike w:val="false"/>
                  <w:color w:val="000000"/>
                  <w:sz w:val="24"/>
                  <w:u w:val="none"/>
                  <w:effect w:val="none"/>
                </w:rPr>
                <w:t>106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7edd7e5f9f1464ebf6d05a3e9cc6332">
              <w:r>
                <w:rPr>
                  <w:rStyle w:val="InternetLink"/>
                  <w:rFonts w:ascii="Times New Roman;serif" w:hAnsi="Times New Roman;serif"/>
                  <w:b w:val="false"/>
                  <w:strike w:val="false"/>
                  <w:dstrike w:val="false"/>
                  <w:color w:val="000000"/>
                  <w:sz w:val="24"/>
                  <w:u w:val="none"/>
                  <w:effect w:val="none"/>
                </w:rPr>
                <w:t>Section 5.6    Books and Records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edd7e5f9f1464ebf6d05a3e9cc6332">
              <w:r>
                <w:rPr>
                  <w:rStyle w:val="InternetLink"/>
                  <w:rFonts w:ascii="Times New Roman;serif" w:hAnsi="Times New Roman;serif"/>
                  <w:b w:val="false"/>
                  <w:strike w:val="false"/>
                  <w:dstrike w:val="false"/>
                  <w:color w:val="000000"/>
                  <w:sz w:val="24"/>
                  <w:u w:val="none"/>
                  <w:effect w:val="none"/>
                </w:rPr>
                <w:t>106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fd36e2ae0142edb7233a0343f3a8ef">
              <w:r>
                <w:rPr>
                  <w:rStyle w:val="InternetLink"/>
                  <w:rFonts w:ascii="Times New Roman;serif" w:hAnsi="Times New Roman;serif"/>
                  <w:b w:val="false"/>
                  <w:strike w:val="false"/>
                  <w:dstrike w:val="false"/>
                  <w:color w:val="000000"/>
                  <w:sz w:val="24"/>
                  <w:u w:val="none"/>
                  <w:effect w:val="none"/>
                </w:rPr>
                <w:t>Section 5.7    Visitation and Inspection; Lender Calls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fd36e2ae0142edb7233a0343f3a8ef">
              <w:r>
                <w:rPr>
                  <w:rStyle w:val="InternetLink"/>
                  <w:rFonts w:ascii="Times New Roman;serif" w:hAnsi="Times New Roman;serif"/>
                  <w:b w:val="false"/>
                  <w:strike w:val="false"/>
                  <w:dstrike w:val="false"/>
                  <w:color w:val="000000"/>
                  <w:sz w:val="24"/>
                  <w:u w:val="none"/>
                  <w:effect w:val="none"/>
                </w:rPr>
                <w:t>106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5be9a59a9f444f78d86c60c78772a87">
              <w:r>
                <w:rPr>
                  <w:rStyle w:val="InternetLink"/>
                  <w:rFonts w:ascii="Times New Roman;serif" w:hAnsi="Times New Roman;serif"/>
                  <w:b w:val="false"/>
                  <w:strike w:val="false"/>
                  <w:dstrike w:val="false"/>
                  <w:color w:val="000000"/>
                  <w:sz w:val="24"/>
                  <w:u w:val="none"/>
                  <w:effect w:val="none"/>
                </w:rPr>
                <w:t>Section 5.8    Maintenance of Properties; Insurance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be9a59a9f444f78d86c60c78772a87">
              <w:r>
                <w:rPr>
                  <w:rStyle w:val="InternetLink"/>
                  <w:rFonts w:ascii="Times New Roman;serif" w:hAnsi="Times New Roman;serif"/>
                  <w:b w:val="false"/>
                  <w:strike w:val="false"/>
                  <w:dstrike w:val="false"/>
                  <w:color w:val="000000"/>
                  <w:sz w:val="24"/>
                  <w:u w:val="none"/>
                  <w:effect w:val="none"/>
                </w:rPr>
                <w:t>106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2c3313bfa464dab85007fb8f2e7cea3">
              <w:r>
                <w:rPr>
                  <w:rStyle w:val="InternetLink"/>
                  <w:rFonts w:ascii="Times New Roman;serif" w:hAnsi="Times New Roman;serif"/>
                  <w:b w:val="false"/>
                  <w:strike w:val="false"/>
                  <w:dstrike w:val="false"/>
                  <w:color w:val="000000"/>
                  <w:sz w:val="24"/>
                  <w:u w:val="none"/>
                  <w:effect w:val="none"/>
                </w:rPr>
                <w:t>Section 5.9    Use of Proceeds; Margin Regulations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c3313bfa464dab85007fb8f2e7cea3">
              <w:r>
                <w:rPr>
                  <w:rStyle w:val="InternetLink"/>
                  <w:rFonts w:ascii="Times New Roman;serif" w:hAnsi="Times New Roman;serif"/>
                  <w:b w:val="false"/>
                  <w:strike w:val="false"/>
                  <w:dstrike w:val="false"/>
                  <w:color w:val="000000"/>
                  <w:sz w:val="24"/>
                  <w:u w:val="none"/>
                  <w:effect w:val="none"/>
                </w:rPr>
                <w:t>106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070bcc6aa814395b837e5b0b749bb84">
              <w:r>
                <w:rPr>
                  <w:rStyle w:val="InternetLink"/>
                  <w:rFonts w:ascii="Times New Roman;serif" w:hAnsi="Times New Roman;serif"/>
                  <w:b w:val="false"/>
                  <w:strike w:val="false"/>
                  <w:dstrike w:val="false"/>
                  <w:color w:val="000000"/>
                  <w:sz w:val="24"/>
                  <w:u w:val="none"/>
                  <w:effect w:val="none"/>
                </w:rPr>
                <w:t>Section 5.10    Casualty and Condemnation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70bcc6aa814395b837e5b0b749bb84">
              <w:r>
                <w:rPr>
                  <w:rStyle w:val="InternetLink"/>
                  <w:rFonts w:ascii="Times New Roman;serif" w:hAnsi="Times New Roman;serif"/>
                  <w:b w:val="false"/>
                  <w:strike w:val="false"/>
                  <w:dstrike w:val="false"/>
                  <w:color w:val="000000"/>
                  <w:sz w:val="24"/>
                  <w:u w:val="none"/>
                  <w:effect w:val="none"/>
                </w:rPr>
                <w:t>107</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943be24461e46cc8eb152b550bc769c">
              <w:r>
                <w:rPr>
                  <w:rStyle w:val="InternetLink"/>
                  <w:rFonts w:ascii="Times New Roman;serif" w:hAnsi="Times New Roman;serif"/>
                  <w:b w:val="false"/>
                  <w:strike w:val="false"/>
                  <w:dstrike w:val="false"/>
                  <w:color w:val="000000"/>
                  <w:sz w:val="24"/>
                  <w:u w:val="none"/>
                  <w:effect w:val="none"/>
                </w:rPr>
                <w:t>Section 5.11    [Reserved]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43be24461e46cc8eb152b550bc769c">
              <w:r>
                <w:rPr>
                  <w:rStyle w:val="InternetLink"/>
                  <w:rFonts w:ascii="Times New Roman;serif" w:hAnsi="Times New Roman;serif"/>
                  <w:b w:val="false"/>
                  <w:strike w:val="false"/>
                  <w:dstrike w:val="false"/>
                  <w:color w:val="000000"/>
                  <w:sz w:val="24"/>
                  <w:u w:val="none"/>
                  <w:effect w:val="none"/>
                </w:rPr>
                <w:t>107</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717eb95605a4292b404942a961bb26c">
              <w:r>
                <w:rPr>
                  <w:rStyle w:val="InternetLink"/>
                  <w:rFonts w:ascii="Times New Roman;serif" w:hAnsi="Times New Roman;serif"/>
                  <w:b w:val="false"/>
                  <w:strike w:val="false"/>
                  <w:dstrike w:val="false"/>
                  <w:color w:val="000000"/>
                  <w:sz w:val="24"/>
                  <w:u w:val="none"/>
                  <w:effect w:val="none"/>
                </w:rPr>
                <w:t>Section 5.12    Additional Subsidiaries and Collateral.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17eb95605a4292b404942a961bb26c">
              <w:r>
                <w:rPr>
                  <w:rStyle w:val="InternetLink"/>
                  <w:rFonts w:ascii="Times New Roman;serif" w:hAnsi="Times New Roman;serif"/>
                  <w:b w:val="false"/>
                  <w:strike w:val="false"/>
                  <w:dstrike w:val="false"/>
                  <w:color w:val="000000"/>
                  <w:sz w:val="24"/>
                  <w:u w:val="none"/>
                  <w:effect w:val="none"/>
                </w:rPr>
                <w:t>107</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4c5013661e0409eae74c4e8e76b091a">
              <w:r>
                <w:rPr>
                  <w:rStyle w:val="InternetLink"/>
                  <w:rFonts w:ascii="Times New Roman;serif" w:hAnsi="Times New Roman;serif"/>
                  <w:b w:val="false"/>
                  <w:strike w:val="false"/>
                  <w:dstrike w:val="false"/>
                  <w:color w:val="000000"/>
                  <w:sz w:val="24"/>
                  <w:u w:val="none"/>
                  <w:effect w:val="none"/>
                </w:rPr>
                <w:t>Section 5.13    Additional Real Estate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c5013661e0409eae74c4e8e76b091a">
              <w:r>
                <w:rPr>
                  <w:rStyle w:val="InternetLink"/>
                  <w:rFonts w:ascii="Times New Roman;serif" w:hAnsi="Times New Roman;serif"/>
                  <w:b w:val="false"/>
                  <w:strike w:val="false"/>
                  <w:dstrike w:val="false"/>
                  <w:color w:val="000000"/>
                  <w:sz w:val="24"/>
                  <w:u w:val="none"/>
                  <w:effect w:val="none"/>
                </w:rPr>
                <w:t>108</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498a32e3b1944ae9cd10b2c2936da3f">
              <w:r>
                <w:rPr>
                  <w:rStyle w:val="InternetLink"/>
                  <w:rFonts w:ascii="Times New Roman;serif" w:hAnsi="Times New Roman;serif"/>
                  <w:b w:val="false"/>
                  <w:strike w:val="false"/>
                  <w:dstrike w:val="false"/>
                  <w:color w:val="000000"/>
                  <w:sz w:val="24"/>
                  <w:u w:val="none"/>
                  <w:effect w:val="none"/>
                </w:rPr>
                <w:t>Section 5.14    Further Assurances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98a32e3b1944ae9cd10b2c2936da3f">
              <w:r>
                <w:rPr>
                  <w:rStyle w:val="InternetLink"/>
                  <w:rFonts w:ascii="Times New Roman;serif" w:hAnsi="Times New Roman;serif"/>
                  <w:b w:val="false"/>
                  <w:strike w:val="false"/>
                  <w:dstrike w:val="false"/>
                  <w:color w:val="000000"/>
                  <w:sz w:val="24"/>
                  <w:u w:val="none"/>
                  <w:effect w:val="none"/>
                </w:rPr>
                <w:t>108</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d8c418758349019d28228b8fb59e8d">
              <w:r>
                <w:rPr>
                  <w:rStyle w:val="InternetLink"/>
                  <w:rFonts w:ascii="Times New Roman;serif" w:hAnsi="Times New Roman;serif"/>
                  <w:b w:val="false"/>
                  <w:strike w:val="false"/>
                  <w:dstrike w:val="false"/>
                  <w:color w:val="000000"/>
                  <w:sz w:val="24"/>
                  <w:u w:val="none"/>
                  <w:effect w:val="none"/>
                </w:rPr>
                <w:t>Section 5.15    Healthcare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d8c418758349019d28228b8fb59e8d">
              <w:r>
                <w:rPr>
                  <w:rStyle w:val="InternetLink"/>
                  <w:rFonts w:ascii="Times New Roman;serif" w:hAnsi="Times New Roman;serif"/>
                  <w:b w:val="false"/>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2569b90d0894560a5eaada346e2b64b">
              <w:r>
                <w:rPr>
                  <w:rStyle w:val="InternetLink"/>
                  <w:rFonts w:ascii="Times New Roman;serif" w:hAnsi="Times New Roman;serif"/>
                  <w:b w:val="false"/>
                  <w:strike w:val="false"/>
                  <w:dstrike w:val="false"/>
                  <w:color w:val="000000"/>
                  <w:sz w:val="24"/>
                  <w:u w:val="none"/>
                  <w:effect w:val="none"/>
                </w:rPr>
                <w:t>Section 5.16    Intellectual Property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569b90d0894560a5eaada346e2b64b">
              <w:r>
                <w:rPr>
                  <w:rStyle w:val="InternetLink"/>
                  <w:rFonts w:ascii="Times New Roman;serif" w:hAnsi="Times New Roman;serif"/>
                  <w:b w:val="false"/>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c0c182051a9437da89a6482cbb8c864">
              <w:r>
                <w:rPr>
                  <w:rStyle w:val="InternetLink"/>
                  <w:rFonts w:ascii="Times New Roman;serif" w:hAnsi="Times New Roman;serif"/>
                  <w:b w:val="false"/>
                  <w:strike w:val="false"/>
                  <w:dstrike w:val="false"/>
                  <w:color w:val="000000"/>
                  <w:sz w:val="24"/>
                  <w:u w:val="none"/>
                  <w:effect w:val="none"/>
                </w:rPr>
                <w:t>Section 5.17    Post-Closing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0c182051a9437da89a6482cbb8c864">
              <w:r>
                <w:rPr>
                  <w:rStyle w:val="InternetLink"/>
                  <w:rFonts w:ascii="Times New Roman;serif" w:hAnsi="Times New Roman;serif"/>
                  <w:b w:val="false"/>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a1bcc78199440639fe046fe66e3c6ef">
              <w:r>
                <w:rPr>
                  <w:rStyle w:val="InternetLink"/>
                  <w:rFonts w:ascii="Times New Roman;serif" w:hAnsi="Times New Roman;serif"/>
                  <w:b/>
                  <w:strike w:val="false"/>
                  <w:dstrike w:val="false"/>
                  <w:color w:val="000000"/>
                  <w:sz w:val="24"/>
                  <w:u w:val="none"/>
                  <w:effect w:val="none"/>
                </w:rPr>
                <w:t>Article VI    </w:t>
                <w:br/>
                <w:br/>
                <w:t>FINANCIAL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bcc78199440639fe046fe66e3c6ef">
              <w:r>
                <w:rPr>
                  <w:rStyle w:val="InternetLink"/>
                  <w:rFonts w:ascii="Times New Roman;serif" w:hAnsi="Times New Roman;serif"/>
                  <w:b/>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5b9fa153a0a424e8ccfc374234d5c26">
              <w:r>
                <w:rPr>
                  <w:rStyle w:val="InternetLink"/>
                  <w:rFonts w:ascii="Times New Roman;serif" w:hAnsi="Times New Roman;serif"/>
                  <w:b w:val="false"/>
                  <w:strike w:val="false"/>
                  <w:dstrike w:val="false"/>
                  <w:color w:val="000000"/>
                  <w:sz w:val="24"/>
                  <w:u w:val="none"/>
                  <w:effect w:val="none"/>
                </w:rPr>
                <w:t>Section 6.1    Consolidated First Lien Net Leverage Ratio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fa153a0a424e8ccfc374234d5c26">
              <w:r>
                <w:rPr>
                  <w:rStyle w:val="InternetLink"/>
                  <w:rFonts w:ascii="Times New Roman;serif" w:hAnsi="Times New Roman;serif"/>
                  <w:b w:val="false"/>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2e39a67e9014b5ca89d6df2966b779e">
              <w:r>
                <w:rPr>
                  <w:rStyle w:val="InternetLink"/>
                  <w:rFonts w:ascii="Times New Roman;serif" w:hAnsi="Times New Roman;serif"/>
                  <w:b w:val="false"/>
                  <w:strike w:val="false"/>
                  <w:dstrike w:val="false"/>
                  <w:color w:val="000000"/>
                  <w:sz w:val="24"/>
                  <w:u w:val="none"/>
                  <w:effect w:val="none"/>
                </w:rPr>
                <w:t>Section 6.2    Fixed Charge Coverage Ratio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e39a67e9014b5ca89d6df2966b779e">
              <w:r>
                <w:rPr>
                  <w:rStyle w:val="InternetLink"/>
                  <w:rFonts w:ascii="Times New Roman;serif" w:hAnsi="Times New Roman;serif"/>
                  <w:b w:val="false"/>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e8099ab9619450c901071d517c54d72">
              <w:r>
                <w:rPr>
                  <w:rStyle w:val="InternetLink"/>
                  <w:rFonts w:ascii="Times New Roman;serif" w:hAnsi="Times New Roman;serif"/>
                  <w:b/>
                  <w:strike w:val="false"/>
                  <w:dstrike w:val="false"/>
                  <w:color w:val="000000"/>
                  <w:sz w:val="24"/>
                  <w:u w:val="none"/>
                  <w:effect w:val="none"/>
                </w:rPr>
                <w:t>Article VII    </w:t>
                <w:br/>
                <w:br/>
                <w:t>NEGATIVE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8099ab9619450c901071d517c54d72">
              <w:r>
                <w:rPr>
                  <w:rStyle w:val="InternetLink"/>
                  <w:rFonts w:ascii="Times New Roman;serif" w:hAnsi="Times New Roman;serif"/>
                  <w:b/>
                  <w:strike w:val="false"/>
                  <w:dstrike w:val="false"/>
                  <w:color w:val="000000"/>
                  <w:sz w:val="24"/>
                  <w:u w:val="none"/>
                  <w:effect w:val="none"/>
                </w:rPr>
                <w:t>109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68988dae524df68bc358ab81464fc2">
              <w:r>
                <w:rPr>
                  <w:rStyle w:val="InternetLink"/>
                  <w:rFonts w:ascii="Times New Roman;serif" w:hAnsi="Times New Roman;serif"/>
                  <w:b w:val="false"/>
                  <w:strike w:val="false"/>
                  <w:dstrike w:val="false"/>
                  <w:color w:val="000000"/>
                  <w:sz w:val="24"/>
                  <w:u w:val="none"/>
                  <w:effect w:val="none"/>
                </w:rPr>
                <w:t>Section 7.1    Indebtedness and Disqualified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68988dae524df68bc358ab81464fc2">
              <w:r>
                <w:rPr>
                  <w:rStyle w:val="InternetLink"/>
                  <w:rFonts w:ascii="Times New Roman;serif" w:hAnsi="Times New Roman;serif"/>
                  <w:b w:val="false"/>
                  <w:strike w:val="false"/>
                  <w:dstrike w:val="false"/>
                  <w:color w:val="000000"/>
                  <w:sz w:val="24"/>
                  <w:u w:val="none"/>
                  <w:effect w:val="none"/>
                </w:rPr>
                <w:t>110</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101aff88424dd59619c1e2bf3f576d">
              <w:r>
                <w:rPr>
                  <w:rStyle w:val="InternetLink"/>
                  <w:rFonts w:ascii="Times New Roman;serif" w:hAnsi="Times New Roman;serif"/>
                  <w:b w:val="false"/>
                  <w:strike w:val="false"/>
                  <w:dstrike w:val="false"/>
                  <w:color w:val="000000"/>
                  <w:sz w:val="24"/>
                  <w:u w:val="none"/>
                  <w:effect w:val="none"/>
                </w:rPr>
                <w:t>Section 7.2    Liens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101aff88424dd59619c1e2bf3f576d">
              <w:r>
                <w:rPr>
                  <w:rStyle w:val="InternetLink"/>
                  <w:rFonts w:ascii="Times New Roman;serif" w:hAnsi="Times New Roman;serif"/>
                  <w:b w:val="false"/>
                  <w:strike w:val="false"/>
                  <w:dstrike w:val="false"/>
                  <w:color w:val="000000"/>
                  <w:sz w:val="24"/>
                  <w:u w:val="none"/>
                  <w:effect w:val="none"/>
                </w:rPr>
                <w:t>112</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d84e29aa404a7490a72aeb716cc66c">
              <w:r>
                <w:rPr>
                  <w:rStyle w:val="InternetLink"/>
                  <w:rFonts w:ascii="Times New Roman;serif" w:hAnsi="Times New Roman;serif"/>
                  <w:b w:val="false"/>
                  <w:strike w:val="false"/>
                  <w:dstrike w:val="false"/>
                  <w:color w:val="000000"/>
                  <w:sz w:val="24"/>
                  <w:u w:val="none"/>
                  <w:effect w:val="none"/>
                </w:rPr>
                <w:t>Section 7.3    Fundamental Changes.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d84e29aa404a7490a72aeb716cc66c">
              <w:r>
                <w:rPr>
                  <w:rStyle w:val="InternetLink"/>
                  <w:rFonts w:ascii="Times New Roman;serif" w:hAnsi="Times New Roman;serif"/>
                  <w:b w:val="false"/>
                  <w:strike w:val="false"/>
                  <w:dstrike w:val="false"/>
                  <w:color w:val="000000"/>
                  <w:sz w:val="24"/>
                  <w:u w:val="none"/>
                  <w:effect w:val="none"/>
                </w:rPr>
                <w:t>113</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4cf4d304a74beda0f8b94103c7c52e">
              <w:r>
                <w:rPr>
                  <w:rStyle w:val="InternetLink"/>
                  <w:rFonts w:ascii="Times New Roman;serif" w:hAnsi="Times New Roman;serif"/>
                  <w:b w:val="false"/>
                  <w:strike w:val="false"/>
                  <w:dstrike w:val="false"/>
                  <w:color w:val="000000"/>
                  <w:sz w:val="24"/>
                  <w:u w:val="none"/>
                  <w:effect w:val="none"/>
                </w:rPr>
                <w:t>Section 7.4    Investments, Loans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cf4d304a74beda0f8b94103c7c52e">
              <w:r>
                <w:rPr>
                  <w:rStyle w:val="InternetLink"/>
                  <w:rFonts w:ascii="Times New Roman;serif" w:hAnsi="Times New Roman;serif"/>
                  <w:b w:val="false"/>
                  <w:strike w:val="false"/>
                  <w:dstrike w:val="false"/>
                  <w:color w:val="000000"/>
                  <w:sz w:val="24"/>
                  <w:u w:val="none"/>
                  <w:effect w:val="none"/>
                </w:rPr>
                <w:t>114</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16155de77cb459a8d42bfb4932a7e03">
              <w:r>
                <w:rPr>
                  <w:rStyle w:val="InternetLink"/>
                  <w:rFonts w:ascii="Times New Roman;serif" w:hAnsi="Times New Roman;serif"/>
                  <w:b w:val="false"/>
                  <w:strike w:val="false"/>
                  <w:dstrike w:val="false"/>
                  <w:color w:val="000000"/>
                  <w:sz w:val="24"/>
                  <w:u w:val="none"/>
                  <w:effect w:val="none"/>
                </w:rPr>
                <w:t>Section 7.5    Restricted Payments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6155de77cb459a8d42bfb4932a7e03">
              <w:r>
                <w:rPr>
                  <w:rStyle w:val="InternetLink"/>
                  <w:rFonts w:ascii="Times New Roman;serif" w:hAnsi="Times New Roman;serif"/>
                  <w:b w:val="false"/>
                  <w:strike w:val="false"/>
                  <w:dstrike w:val="false"/>
                  <w:color w:val="000000"/>
                  <w:sz w:val="24"/>
                  <w:u w:val="none"/>
                  <w:effect w:val="none"/>
                </w:rPr>
                <w:t>116</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d592d32f4e4d829c75d301b470e3bf">
              <w:r>
                <w:rPr>
                  <w:rStyle w:val="InternetLink"/>
                  <w:rFonts w:ascii="Times New Roman;serif" w:hAnsi="Times New Roman;serif"/>
                  <w:b w:val="false"/>
                  <w:strike w:val="false"/>
                  <w:dstrike w:val="false"/>
                  <w:color w:val="000000"/>
                  <w:sz w:val="24"/>
                  <w:u w:val="none"/>
                  <w:effect w:val="none"/>
                </w:rPr>
                <w:t>Section 7.6    Sale of Assets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d592d32f4e4d829c75d301b470e3bf">
              <w:r>
                <w:rPr>
                  <w:rStyle w:val="InternetLink"/>
                  <w:rFonts w:ascii="Times New Roman;serif" w:hAnsi="Times New Roman;serif"/>
                  <w:b w:val="false"/>
                  <w:strike w:val="false"/>
                  <w:dstrike w:val="false"/>
                  <w:color w:val="000000"/>
                  <w:sz w:val="24"/>
                  <w:u w:val="none"/>
                  <w:effect w:val="none"/>
                </w:rPr>
                <w:t>117</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46753bb82d0444eb685849ed1c10316">
              <w:r>
                <w:rPr>
                  <w:rStyle w:val="InternetLink"/>
                  <w:rFonts w:ascii="Times New Roman;serif" w:hAnsi="Times New Roman;serif"/>
                  <w:b w:val="false"/>
                  <w:strike w:val="false"/>
                  <w:dstrike w:val="false"/>
                  <w:color w:val="000000"/>
                  <w:sz w:val="24"/>
                  <w:u w:val="none"/>
                  <w:effect w:val="none"/>
                </w:rPr>
                <w:t>Section 7.7    Transactions with Affiliates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6753bb82d0444eb685849ed1c10316">
              <w:r>
                <w:rPr>
                  <w:rStyle w:val="InternetLink"/>
                  <w:rFonts w:ascii="Times New Roman;serif" w:hAnsi="Times New Roman;serif"/>
                  <w:b w:val="false"/>
                  <w:strike w:val="false"/>
                  <w:dstrike w:val="false"/>
                  <w:color w:val="000000"/>
                  <w:sz w:val="24"/>
                  <w:u w:val="none"/>
                  <w:effect w:val="none"/>
                </w:rPr>
                <w:t>119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951b750784c43c68bb3d265ef954bea">
              <w:r>
                <w:rPr>
                  <w:rStyle w:val="InternetLink"/>
                  <w:rFonts w:ascii="Times New Roman;serif" w:hAnsi="Times New Roman;serif"/>
                  <w:b w:val="false"/>
                  <w:strike w:val="false"/>
                  <w:dstrike w:val="false"/>
                  <w:color w:val="000000"/>
                  <w:sz w:val="24"/>
                  <w:u w:val="none"/>
                  <w:effect w:val="none"/>
                </w:rPr>
                <w:t>Section 7.8    Restrictive Agreements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51b750784c43c68bb3d265ef954bea">
              <w:r>
                <w:rPr>
                  <w:rStyle w:val="InternetLink"/>
                  <w:rFonts w:ascii="Times New Roman;serif" w:hAnsi="Times New Roman;serif"/>
                  <w:b w:val="false"/>
                  <w:strike w:val="false"/>
                  <w:dstrike w:val="false"/>
                  <w:color w:val="000000"/>
                  <w:sz w:val="24"/>
                  <w:u w:val="none"/>
                  <w:effect w:val="none"/>
                </w:rPr>
                <w:t>120</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214cfa667b4111a10fcddd7a4c7316">
              <w:r>
                <w:rPr>
                  <w:rStyle w:val="InternetLink"/>
                  <w:rFonts w:ascii="Times New Roman;serif" w:hAnsi="Times New Roman;serif"/>
                  <w:b w:val="false"/>
                  <w:strike w:val="false"/>
                  <w:dstrike w:val="false"/>
                  <w:color w:val="000000"/>
                  <w:sz w:val="24"/>
                  <w:u w:val="none"/>
                  <w:effect w:val="none"/>
                </w:rPr>
                <w:t>Section 7.9    Sale and Leaseback Transactions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4cfa667b4111a10fcddd7a4c7316">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a1879725e3b4399b9483add97526246">
              <w:r>
                <w:rPr>
                  <w:rStyle w:val="InternetLink"/>
                  <w:rFonts w:ascii="Times New Roman;serif" w:hAnsi="Times New Roman;serif"/>
                  <w:b w:val="false"/>
                  <w:strike w:val="false"/>
                  <w:dstrike w:val="false"/>
                  <w:color w:val="000000"/>
                  <w:sz w:val="24"/>
                  <w:u w:val="none"/>
                  <w:effect w:val="none"/>
                </w:rPr>
                <w:t>Section 7.10    Hedging Transactions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1879725e3b4399b9483add97526246">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4ecb927dacc4378aa3cec302d9de8a4">
              <w:r>
                <w:rPr>
                  <w:rStyle w:val="InternetLink"/>
                  <w:rFonts w:ascii="Times New Roman;serif" w:hAnsi="Times New Roman;serif"/>
                  <w:b w:val="false"/>
                  <w:strike w:val="false"/>
                  <w:dstrike w:val="false"/>
                  <w:color w:val="000000"/>
                  <w:sz w:val="24"/>
                  <w:u w:val="none"/>
                  <w:effect w:val="none"/>
                </w:rPr>
                <w:t>Section 7.11    Amendment to Material Documents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ecb927dacc4378aa3cec302d9de8a4">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5a0b220109487c8c400b0dc1991540">
              <w:r>
                <w:rPr>
                  <w:rStyle w:val="InternetLink"/>
                  <w:rFonts w:ascii="Times New Roman;serif" w:hAnsi="Times New Roman;serif"/>
                  <w:b w:val="false"/>
                  <w:strike w:val="false"/>
                  <w:dstrike w:val="false"/>
                  <w:color w:val="000000"/>
                  <w:sz w:val="24"/>
                  <w:u w:val="none"/>
                  <w:effect w:val="none"/>
                </w:rPr>
                <w:t>Section 7.12    Outbound Investment Rules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a0b220109487c8c400b0dc1991540">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589c5fda274fa1aab9e69be831418d">
              <w:r>
                <w:rPr>
                  <w:rStyle w:val="InternetLink"/>
                  <w:rFonts w:ascii="Times New Roman;serif" w:hAnsi="Times New Roman;serif"/>
                  <w:b w:val="false"/>
                  <w:strike w:val="false"/>
                  <w:dstrike w:val="false"/>
                  <w:color w:val="000000"/>
                  <w:sz w:val="24"/>
                  <w:u w:val="none"/>
                  <w:effect w:val="none"/>
                </w:rPr>
                <w:t>Section 7.13    Accounting Changes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89c5fda274fa1aab9e69be831418d">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49f5439a46a40c789971629a4cf06b6">
              <w:r>
                <w:rPr>
                  <w:rStyle w:val="InternetLink"/>
                  <w:rFonts w:ascii="Times New Roman;serif" w:hAnsi="Times New Roman;serif"/>
                  <w:b w:val="false"/>
                  <w:strike w:val="false"/>
                  <w:dstrike w:val="false"/>
                  <w:color w:val="000000"/>
                  <w:sz w:val="24"/>
                  <w:u w:val="none"/>
                  <w:effect w:val="none"/>
                </w:rPr>
                <w:t>Section 7.14    Sanctions and Anti-Corruption Laws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9f5439a46a40c789971629a4cf06b6">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ecd24fca3bd4a2c85c9f8817e01bf1c">
              <w:r>
                <w:rPr>
                  <w:rStyle w:val="InternetLink"/>
                  <w:rFonts w:ascii="Times New Roman;serif" w:hAnsi="Times New Roman;serif"/>
                  <w:b/>
                  <w:strike w:val="false"/>
                  <w:dstrike w:val="false"/>
                  <w:color w:val="000000"/>
                  <w:sz w:val="24"/>
                  <w:u w:val="none"/>
                  <w:effect w:val="none"/>
                </w:rPr>
                <w:t>Article VIII    </w:t>
                <w:br/>
                <w:br/>
                <w:t>EVENTS OF DEFAULT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cd24fca3bd4a2c85c9f8817e01bf1c">
              <w:r>
                <w:rPr>
                  <w:rStyle w:val="InternetLink"/>
                  <w:rFonts w:ascii="Times New Roman;serif" w:hAnsi="Times New Roman;serif"/>
                  <w:b/>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c7f842c071342d48b40e042991a3ab5">
              <w:r>
                <w:rPr>
                  <w:rStyle w:val="InternetLink"/>
                  <w:rFonts w:ascii="Times New Roman;serif" w:hAnsi="Times New Roman;serif"/>
                  <w:b w:val="false"/>
                  <w:strike w:val="false"/>
                  <w:dstrike w:val="false"/>
                  <w:color w:val="000000"/>
                  <w:sz w:val="24"/>
                  <w:u w:val="none"/>
                  <w:effect w:val="none"/>
                </w:rPr>
                <w:t>Section 8.1    Events of Default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7f842c071342d48b40e042991a3ab5">
              <w:r>
                <w:rPr>
                  <w:rStyle w:val="InternetLink"/>
                  <w:rFonts w:ascii="Times New Roman;serif" w:hAnsi="Times New Roman;serif"/>
                  <w:b w:val="false"/>
                  <w:strike w:val="false"/>
                  <w:dstrike w:val="false"/>
                  <w:color w:val="000000"/>
                  <w:sz w:val="24"/>
                  <w:u w:val="none"/>
                  <w:effect w:val="none"/>
                </w:rPr>
                <w:t>121</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c4c4ca2eb7747489219c1e83255fd40">
              <w:r>
                <w:rPr>
                  <w:rStyle w:val="InternetLink"/>
                  <w:rFonts w:ascii="Times New Roman;serif" w:hAnsi="Times New Roman;serif"/>
                  <w:b w:val="false"/>
                  <w:strike w:val="false"/>
                  <w:dstrike w:val="false"/>
                  <w:color w:val="000000"/>
                  <w:sz w:val="24"/>
                  <w:u w:val="none"/>
                  <w:effect w:val="none"/>
                </w:rPr>
                <w:t>Section 8.2    Application of Proceeds from Collateral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4c4ca2eb7747489219c1e83255fd40">
              <w:r>
                <w:rPr>
                  <w:rStyle w:val="InternetLink"/>
                  <w:rFonts w:ascii="Times New Roman;serif" w:hAnsi="Times New Roman;serif"/>
                  <w:b w:val="false"/>
                  <w:strike w:val="false"/>
                  <w:dstrike w:val="false"/>
                  <w:color w:val="000000"/>
                  <w:sz w:val="24"/>
                  <w:u w:val="none"/>
                  <w:effect w:val="none"/>
                </w:rPr>
                <w:t>124</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4a9a0eb56924cb0a1207b97bad39874">
              <w:r>
                <w:rPr>
                  <w:rStyle w:val="InternetLink"/>
                  <w:rFonts w:ascii="Times New Roman;serif" w:hAnsi="Times New Roman;serif"/>
                  <w:b/>
                  <w:strike w:val="false"/>
                  <w:dstrike w:val="false"/>
                  <w:color w:val="000000"/>
                  <w:sz w:val="24"/>
                  <w:u w:val="none"/>
                  <w:effect w:val="none"/>
                </w:rPr>
                <w:t>Article IX    </w:t>
                <w:br/>
                <w:br/>
                <w:t>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a9a0eb56924cb0a1207b97bad39874">
              <w:r>
                <w:rPr>
                  <w:rStyle w:val="InternetLink"/>
                  <w:rFonts w:ascii="Times New Roman;serif" w:hAnsi="Times New Roman;serif"/>
                  <w:b/>
                  <w:strike w:val="false"/>
                  <w:dstrike w:val="false"/>
                  <w:color w:val="000000"/>
                  <w:sz w:val="24"/>
                  <w:u w:val="none"/>
                  <w:effect w:val="none"/>
                </w:rPr>
                <w:t>125</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036955"/>
                <wp:effectExtent l="0" t="0" r="0" b="0"/>
                <wp:wrapNone/>
                <wp:docPr id="124" name="Frame12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tbl>
      <w:tblPr>
        <w:tblW w:w="9345" w:type="dxa"/>
        <w:jc w:val="left"/>
        <w:tblInd w:w="0" w:type="dxa"/>
        <w:tblLayout w:type="fixed"/>
        <w:tblCellMar>
          <w:top w:w="28" w:type="dxa"/>
          <w:left w:w="28" w:type="dxa"/>
          <w:bottom w:w="28" w:type="dxa"/>
          <w:right w:w="28" w:type="dxa"/>
        </w:tblCellMar>
      </w:tblPr>
      <w:tblGrid>
        <w:gridCol w:w="3205"/>
        <w:gridCol w:w="2808"/>
        <w:gridCol w:w="2821"/>
        <w:gridCol w:w="149"/>
        <w:gridCol w:w="149"/>
        <w:gridCol w:w="213"/>
      </w:tblGrid>
      <w:tr>
        <w:trPr/>
        <w:tc>
          <w:tcPr>
            <w:tcW w:w="3205"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47214a579c045db97e402161d6939f5">
              <w:r>
                <w:rPr>
                  <w:rStyle w:val="InternetLink"/>
                  <w:rFonts w:ascii="Times New Roman;serif" w:hAnsi="Times New Roman;serif"/>
                  <w:b w:val="false"/>
                  <w:strike w:val="false"/>
                  <w:dstrike w:val="false"/>
                  <w:color w:val="000000"/>
                  <w:sz w:val="24"/>
                  <w:u w:val="none"/>
                  <w:effect w:val="none"/>
                </w:rPr>
                <w:t>Section 9.1    Appointment of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7214a579c045db97e402161d6939f5">
              <w:r>
                <w:rPr>
                  <w:rStyle w:val="InternetLink"/>
                  <w:rFonts w:ascii="Times New Roman;serif" w:hAnsi="Times New Roman;serif"/>
                  <w:b w:val="false"/>
                  <w:strike w:val="false"/>
                  <w:dstrike w:val="false"/>
                  <w:color w:val="000000"/>
                  <w:sz w:val="24"/>
                  <w:u w:val="none"/>
                  <w:effect w:val="none"/>
                </w:rPr>
                <w:t>125</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27d671d2ce447494fd2309ac01c262">
              <w:r>
                <w:rPr>
                  <w:rStyle w:val="InternetLink"/>
                  <w:rFonts w:ascii="Times New Roman;serif" w:hAnsi="Times New Roman;serif"/>
                  <w:b w:val="false"/>
                  <w:strike w:val="false"/>
                  <w:dstrike w:val="false"/>
                  <w:color w:val="000000"/>
                  <w:sz w:val="24"/>
                  <w:u w:val="none"/>
                  <w:effect w:val="none"/>
                </w:rPr>
                <w:t xml:space="preserve">Section 9.2    Nature of Duties of the Administrative Agent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27d671d2ce447494fd2309ac01c262">
              <w:r>
                <w:rPr>
                  <w:rStyle w:val="InternetLink"/>
                  <w:rFonts w:ascii="Times New Roman;serif" w:hAnsi="Times New Roman;serif"/>
                  <w:b w:val="false"/>
                  <w:strike w:val="false"/>
                  <w:dstrike w:val="false"/>
                  <w:color w:val="000000"/>
                  <w:sz w:val="24"/>
                  <w:u w:val="none"/>
                  <w:effect w:val="none"/>
                </w:rPr>
                <w:t>125</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cfe6429a2b645df8756a87456e804e0">
              <w:r>
                <w:rPr>
                  <w:rStyle w:val="InternetLink"/>
                  <w:rFonts w:ascii="Times New Roman;serif" w:hAnsi="Times New Roman;serif"/>
                  <w:b w:val="false"/>
                  <w:strike w:val="false"/>
                  <w:dstrike w:val="false"/>
                  <w:color w:val="000000"/>
                  <w:sz w:val="24"/>
                  <w:u w:val="none"/>
                  <w:effect w:val="none"/>
                </w:rPr>
                <w:t>Section 9.3    Lack of Reliance on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fe6429a2b645df8756a87456e804e0">
              <w:r>
                <w:rPr>
                  <w:rStyle w:val="InternetLink"/>
                  <w:rFonts w:ascii="Times New Roman;serif" w:hAnsi="Times New Roman;serif"/>
                  <w:b w:val="false"/>
                  <w:strike w:val="false"/>
                  <w:dstrike w:val="false"/>
                  <w:color w:val="000000"/>
                  <w:sz w:val="24"/>
                  <w:u w:val="none"/>
                  <w:effect w:val="none"/>
                </w:rPr>
                <w:t>126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58c1fe86cd44798dfe60780bdd97d6">
              <w:r>
                <w:rPr>
                  <w:rStyle w:val="InternetLink"/>
                  <w:rFonts w:ascii="Times New Roman;serif" w:hAnsi="Times New Roman;serif"/>
                  <w:b w:val="false"/>
                  <w:strike w:val="false"/>
                  <w:dstrike w:val="false"/>
                  <w:color w:val="000000"/>
                  <w:sz w:val="24"/>
                  <w:u w:val="none"/>
                  <w:effect w:val="none"/>
                </w:rPr>
                <w:t>Section 9.4    Certain Rights of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8c1fe86cd44798dfe60780bdd97d6">
              <w:r>
                <w:rPr>
                  <w:rStyle w:val="InternetLink"/>
                  <w:rFonts w:ascii="Times New Roman;serif" w:hAnsi="Times New Roman;serif"/>
                  <w:b w:val="false"/>
                  <w:strike w:val="false"/>
                  <w:dstrike w:val="false"/>
                  <w:color w:val="000000"/>
                  <w:sz w:val="24"/>
                  <w:u w:val="none"/>
                  <w:effect w:val="none"/>
                </w:rPr>
                <w:t>127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e5fd8ff0754890bc962a5d2180bb40">
              <w:r>
                <w:rPr>
                  <w:rStyle w:val="InternetLink"/>
                  <w:rFonts w:ascii="Times New Roman;serif" w:hAnsi="Times New Roman;serif"/>
                  <w:b w:val="false"/>
                  <w:strike w:val="false"/>
                  <w:dstrike w:val="false"/>
                  <w:color w:val="000000"/>
                  <w:sz w:val="24"/>
                  <w:u w:val="none"/>
                  <w:effect w:val="none"/>
                </w:rPr>
                <w:t>Section 9.5    Reliance by the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e5fd8ff0754890bc962a5d2180bb40">
              <w:r>
                <w:rPr>
                  <w:rStyle w:val="InternetLink"/>
                  <w:rFonts w:ascii="Times New Roman;serif" w:hAnsi="Times New Roman;serif"/>
                  <w:b w:val="false"/>
                  <w:strike w:val="false"/>
                  <w:dstrike w:val="false"/>
                  <w:color w:val="000000"/>
                  <w:sz w:val="24"/>
                  <w:u w:val="none"/>
                  <w:effect w:val="none"/>
                </w:rPr>
                <w:t>127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db5ac0609fd4d23aa37713c34752ffd">
              <w:r>
                <w:rPr>
                  <w:rStyle w:val="InternetLink"/>
                  <w:rFonts w:ascii="Times New Roman;serif" w:hAnsi="Times New Roman;serif"/>
                  <w:b w:val="false"/>
                  <w:strike w:val="false"/>
                  <w:dstrike w:val="false"/>
                  <w:color w:val="000000"/>
                  <w:sz w:val="24"/>
                  <w:u w:val="none"/>
                  <w:effect w:val="none"/>
                </w:rPr>
                <w:t>Section 9.6    The Administrative Agent in its Individual Capacity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b5ac0609fd4d23aa37713c34752ffd">
              <w:r>
                <w:rPr>
                  <w:rStyle w:val="InternetLink"/>
                  <w:rFonts w:ascii="Times New Roman;serif" w:hAnsi="Times New Roman;serif"/>
                  <w:b w:val="false"/>
                  <w:strike w:val="false"/>
                  <w:dstrike w:val="false"/>
                  <w:color w:val="000000"/>
                  <w:sz w:val="24"/>
                  <w:u w:val="none"/>
                  <w:effect w:val="none"/>
                </w:rPr>
                <w:t>127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c13c80448cd4d789b2e304213983374">
              <w:r>
                <w:rPr>
                  <w:rStyle w:val="InternetLink"/>
                  <w:rFonts w:ascii="Times New Roman;serif" w:hAnsi="Times New Roman;serif"/>
                  <w:b w:val="false"/>
                  <w:strike w:val="false"/>
                  <w:dstrike w:val="false"/>
                  <w:color w:val="000000"/>
                  <w:sz w:val="24"/>
                  <w:u w:val="none"/>
                  <w:effect w:val="none"/>
                </w:rPr>
                <w:t>Section 9.7    Successor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13c80448cd4d789b2e304213983374">
              <w:r>
                <w:rPr>
                  <w:rStyle w:val="InternetLink"/>
                  <w:rFonts w:ascii="Times New Roman;serif" w:hAnsi="Times New Roman;serif"/>
                  <w:b w:val="false"/>
                  <w:strike w:val="false"/>
                  <w:dstrike w:val="false"/>
                  <w:color w:val="000000"/>
                  <w:sz w:val="24"/>
                  <w:u w:val="none"/>
                  <w:effect w:val="none"/>
                </w:rPr>
                <w:t>127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87b1e43937b4cf895df32cefa0b66aa">
              <w:r>
                <w:rPr>
                  <w:rStyle w:val="InternetLink"/>
                  <w:rFonts w:ascii="Times New Roman;serif" w:hAnsi="Times New Roman;serif"/>
                  <w:b w:val="false"/>
                  <w:strike w:val="false"/>
                  <w:dstrike w:val="false"/>
                  <w:color w:val="000000"/>
                  <w:sz w:val="24"/>
                  <w:u w:val="none"/>
                  <w:effect w:val="none"/>
                </w:rPr>
                <w:t>Section 9.8    Withholding Tax</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7b1e43937b4cf895df32cefa0b66aa">
              <w:r>
                <w:rPr>
                  <w:rStyle w:val="InternetLink"/>
                  <w:rFonts w:ascii="Times New Roman;serif" w:hAnsi="Times New Roman;serif"/>
                  <w:b w:val="false"/>
                  <w:strike w:val="false"/>
                  <w:dstrike w:val="false"/>
                  <w:color w:val="000000"/>
                  <w:sz w:val="24"/>
                  <w:u w:val="none"/>
                  <w:effect w:val="none"/>
                </w:rPr>
                <w:t>128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3e397a9c8464444968e0d32e7c85a15">
              <w:r>
                <w:rPr>
                  <w:rStyle w:val="InternetLink"/>
                  <w:rFonts w:ascii="Times New Roman;serif" w:hAnsi="Times New Roman;serif"/>
                  <w:b w:val="false"/>
                  <w:strike w:val="false"/>
                  <w:dstrike w:val="false"/>
                  <w:color w:val="000000"/>
                  <w:sz w:val="24"/>
                  <w:u w:val="none"/>
                  <w:effect w:val="none"/>
                </w:rPr>
                <w:t>Section 9.9    The Administrative Agent May File Proofs of Claim.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e397a9c8464444968e0d32e7c85a15">
              <w:r>
                <w:rPr>
                  <w:rStyle w:val="InternetLink"/>
                  <w:rFonts w:ascii="Times New Roman;serif" w:hAnsi="Times New Roman;serif"/>
                  <w:b w:val="false"/>
                  <w:strike w:val="false"/>
                  <w:dstrike w:val="false"/>
                  <w:color w:val="000000"/>
                  <w:sz w:val="24"/>
                  <w:u w:val="none"/>
                  <w:effect w:val="none"/>
                </w:rPr>
                <w:t>128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b71a3d9e8764c0da4f7072e7f5c5b24">
              <w:r>
                <w:rPr>
                  <w:rStyle w:val="InternetLink"/>
                  <w:rFonts w:ascii="Times New Roman;serif" w:hAnsi="Times New Roman;serif"/>
                  <w:b w:val="false"/>
                  <w:strike w:val="false"/>
                  <w:dstrike w:val="false"/>
                  <w:color w:val="000000"/>
                  <w:sz w:val="24"/>
                  <w:u w:val="none"/>
                  <w:effect w:val="none"/>
                </w:rPr>
                <w:t>Section 9.10    Authorization to Execute Other Loan Documents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71a3d9e8764c0da4f7072e7f5c5b24">
              <w:r>
                <w:rPr>
                  <w:rStyle w:val="InternetLink"/>
                  <w:rFonts w:ascii="Times New Roman;serif" w:hAnsi="Times New Roman;serif"/>
                  <w:b w:val="false"/>
                  <w:strike w:val="false"/>
                  <w:dstrike w:val="false"/>
                  <w:color w:val="000000"/>
                  <w:sz w:val="24"/>
                  <w:u w:val="none"/>
                  <w:effect w:val="none"/>
                </w:rPr>
                <w:t>129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8260e608b145179b3a6e97d6eeceeb">
              <w:r>
                <w:rPr>
                  <w:rStyle w:val="InternetLink"/>
                  <w:rFonts w:ascii="Times New Roman;serif" w:hAnsi="Times New Roman;serif"/>
                  <w:b w:val="false"/>
                  <w:strike w:val="false"/>
                  <w:dstrike w:val="false"/>
                  <w:color w:val="000000"/>
                  <w:sz w:val="24"/>
                  <w:u w:val="none"/>
                  <w:effect w:val="none"/>
                </w:rPr>
                <w:t>Section 9.11    Collateral and Guaranty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8260e608b145179b3a6e97d6eeceeb">
              <w:r>
                <w:rPr>
                  <w:rStyle w:val="InternetLink"/>
                  <w:rFonts w:ascii="Times New Roman;serif" w:hAnsi="Times New Roman;serif"/>
                  <w:b w:val="false"/>
                  <w:strike w:val="false"/>
                  <w:dstrike w:val="false"/>
                  <w:color w:val="000000"/>
                  <w:sz w:val="24"/>
                  <w:u w:val="none"/>
                  <w:effect w:val="none"/>
                </w:rPr>
                <w:t>129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4f6f3610d7e4ecdb68da5306ff507b0">
              <w:r>
                <w:rPr>
                  <w:rStyle w:val="InternetLink"/>
                  <w:rFonts w:ascii="Times New Roman;serif" w:hAnsi="Times New Roman;serif"/>
                  <w:b w:val="false"/>
                  <w:strike w:val="false"/>
                  <w:dstrike w:val="false"/>
                  <w:color w:val="000000"/>
                  <w:sz w:val="24"/>
                  <w:u w:val="none"/>
                  <w:effect w:val="none"/>
                </w:rPr>
                <w:t>Section 9.12    No Other Duties; Designation of Additional Agents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f6f3610d7e4ecdb68da5306ff507b0">
              <w:r>
                <w:rPr>
                  <w:rStyle w:val="InternetLink"/>
                  <w:rFonts w:ascii="Times New Roman;serif" w:hAnsi="Times New Roman;serif"/>
                  <w:b w:val="false"/>
                  <w:strike w:val="false"/>
                  <w:dstrike w:val="false"/>
                  <w:color w:val="000000"/>
                  <w:sz w:val="24"/>
                  <w:u w:val="none"/>
                  <w:effect w:val="none"/>
                </w:rPr>
                <w:t>129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7d250d4332048c4a83fc6edfdc604f1">
              <w:r>
                <w:rPr>
                  <w:rStyle w:val="InternetLink"/>
                  <w:rFonts w:ascii="Times New Roman;serif" w:hAnsi="Times New Roman;serif"/>
                  <w:b w:val="false"/>
                  <w:strike w:val="false"/>
                  <w:dstrike w:val="false"/>
                  <w:color w:val="000000"/>
                  <w:sz w:val="24"/>
                  <w:u w:val="none"/>
                  <w:effect w:val="none"/>
                </w:rPr>
                <w:t>Section 9.13    Right to Realize on Collateral and Enforce Guarantee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d250d4332048c4a83fc6edfdc604f1">
              <w:r>
                <w:rPr>
                  <w:rStyle w:val="InternetLink"/>
                  <w:rFonts w:ascii="Times New Roman;serif" w:hAnsi="Times New Roman;serif"/>
                  <w:b w:val="false"/>
                  <w:strike w:val="false"/>
                  <w:dstrike w:val="false"/>
                  <w:color w:val="000000"/>
                  <w:sz w:val="24"/>
                  <w:u w:val="none"/>
                  <w:effect w:val="none"/>
                </w:rPr>
                <w:t>129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691fce8f8de4616a718bce47038c866">
              <w:r>
                <w:rPr>
                  <w:rStyle w:val="InternetLink"/>
                  <w:rFonts w:ascii="Times New Roman;serif" w:hAnsi="Times New Roman;serif"/>
                  <w:b w:val="false"/>
                  <w:strike w:val="false"/>
                  <w:dstrike w:val="false"/>
                  <w:color w:val="000000"/>
                  <w:sz w:val="24"/>
                  <w:u w:val="none"/>
                  <w:effect w:val="none"/>
                </w:rPr>
                <w:t>Section 9.14    Secured Bank Product Obligations and Hedging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91fce8f8de4616a718bce47038c866">
              <w:r>
                <w:rPr>
                  <w:rStyle w:val="InternetLink"/>
                  <w:rFonts w:ascii="Times New Roman;serif" w:hAnsi="Times New Roman;serif"/>
                  <w:b w:val="false"/>
                  <w:strike w:val="false"/>
                  <w:dstrike w:val="false"/>
                  <w:color w:val="000000"/>
                  <w:sz w:val="24"/>
                  <w:u w:val="none"/>
                  <w:effect w:val="none"/>
                </w:rPr>
                <w:t>129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398b871ed3d444eae4414d79b7e60e2">
              <w:r>
                <w:rPr>
                  <w:rStyle w:val="InternetLink"/>
                  <w:rFonts w:ascii="Times New Roman;serif" w:hAnsi="Times New Roman;serif"/>
                  <w:b w:val="false"/>
                  <w:strike w:val="false"/>
                  <w:dstrike w:val="false"/>
                  <w:color w:val="000000"/>
                  <w:sz w:val="24"/>
                  <w:u w:val="none"/>
                  <w:effect w:val="none"/>
                </w:rPr>
                <w:t>Section 9.15    Erroneous Payments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98b871ed3d444eae4414d79b7e60e2">
              <w:r>
                <w:rPr>
                  <w:rStyle w:val="InternetLink"/>
                  <w:rFonts w:ascii="Times New Roman;serif" w:hAnsi="Times New Roman;serif"/>
                  <w:b w:val="false"/>
                  <w:strike w:val="false"/>
                  <w:dstrike w:val="false"/>
                  <w:color w:val="000000"/>
                  <w:sz w:val="24"/>
                  <w:u w:val="none"/>
                  <w:effect w:val="none"/>
                </w:rPr>
                <w:t>129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b9a34ebd9494202a2e31b3189d8a1ed">
              <w:r>
                <w:rPr>
                  <w:rStyle w:val="InternetLink"/>
                  <w:rFonts w:ascii="Times New Roman;serif" w:hAnsi="Times New Roman;serif"/>
                  <w:b/>
                  <w:strike w:val="false"/>
                  <w:dstrike w:val="false"/>
                  <w:color w:val="000000"/>
                  <w:sz w:val="24"/>
                  <w:u w:val="none"/>
                  <w:effect w:val="none"/>
                </w:rPr>
                <w:t>Article X    </w:t>
                <w:br/>
                <w:b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9a34ebd9494202a2e31b3189d8a1ed">
              <w:r>
                <w:rPr>
                  <w:rStyle w:val="InternetLink"/>
                  <w:rFonts w:ascii="Times New Roman;serif" w:hAnsi="Times New Roman;serif"/>
                  <w:b/>
                  <w:strike w:val="false"/>
                  <w:dstrike w:val="false"/>
                  <w:color w:val="000000"/>
                  <w:sz w:val="24"/>
                  <w:u w:val="none"/>
                  <w:effect w:val="none"/>
                </w:rPr>
                <w:t>131</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84f3ef2a6f40f0826bf2a2d3e819af">
              <w:r>
                <w:rPr>
                  <w:rStyle w:val="InternetLink"/>
                  <w:rFonts w:ascii="Times New Roman;serif" w:hAnsi="Times New Roman;serif"/>
                  <w:b w:val="false"/>
                  <w:strike w:val="false"/>
                  <w:dstrike w:val="false"/>
                  <w:color w:val="000000"/>
                  <w:sz w:val="24"/>
                  <w:u w:val="none"/>
                  <w:effect w:val="none"/>
                </w:rPr>
                <w:t>Section 10.1    Notices.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84f3ef2a6f40f0826bf2a2d3e819af">
              <w:r>
                <w:rPr>
                  <w:rStyle w:val="InternetLink"/>
                  <w:rFonts w:ascii="Times New Roman;serif" w:hAnsi="Times New Roman;serif"/>
                  <w:b w:val="false"/>
                  <w:strike w:val="false"/>
                  <w:dstrike w:val="false"/>
                  <w:color w:val="000000"/>
                  <w:sz w:val="24"/>
                  <w:u w:val="none"/>
                  <w:effect w:val="none"/>
                </w:rPr>
                <w:t>131</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dc91a4f8f64d3b9509522f81672466">
              <w:r>
                <w:rPr>
                  <w:rStyle w:val="InternetLink"/>
                  <w:rFonts w:ascii="Times New Roman;serif" w:hAnsi="Times New Roman;serif"/>
                  <w:b w:val="false"/>
                  <w:strike w:val="false"/>
                  <w:dstrike w:val="false"/>
                  <w:color w:val="000000"/>
                  <w:sz w:val="24"/>
                  <w:u w:val="none"/>
                  <w:effect w:val="none"/>
                </w:rPr>
                <w:t>Section 10.2    Waiver; Amendments.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dc91a4f8f64d3b9509522f81672466">
              <w:r>
                <w:rPr>
                  <w:rStyle w:val="InternetLink"/>
                  <w:rFonts w:ascii="Times New Roman;serif" w:hAnsi="Times New Roman;serif"/>
                  <w:b w:val="false"/>
                  <w:strike w:val="false"/>
                  <w:dstrike w:val="false"/>
                  <w:color w:val="000000"/>
                  <w:sz w:val="24"/>
                  <w:u w:val="none"/>
                  <w:effect w:val="none"/>
                </w:rPr>
                <w:t>135</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8fdea5434ec45fdb4a61c627e5bef86">
              <w:r>
                <w:rPr>
                  <w:rStyle w:val="InternetLink"/>
                  <w:rFonts w:ascii="Times New Roman;serif" w:hAnsi="Times New Roman;serif"/>
                  <w:b w:val="false"/>
                  <w:strike w:val="false"/>
                  <w:dstrike w:val="false"/>
                  <w:color w:val="000000"/>
                  <w:sz w:val="24"/>
                  <w:u w:val="none"/>
                  <w:effect w:val="none"/>
                </w:rPr>
                <w:t>Section 10.3    Expenses; Indemnification.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fdea5434ec45fdb4a61c627e5bef86">
              <w:r>
                <w:rPr>
                  <w:rStyle w:val="InternetLink"/>
                  <w:rFonts w:ascii="Times New Roman;serif" w:hAnsi="Times New Roman;serif"/>
                  <w:b w:val="false"/>
                  <w:strike w:val="false"/>
                  <w:dstrike w:val="false"/>
                  <w:color w:val="000000"/>
                  <w:sz w:val="24"/>
                  <w:u w:val="none"/>
                  <w:effect w:val="none"/>
                </w:rPr>
                <w:t>137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38240dd639b46e4bca24ddc9f9b5dcd">
              <w:r>
                <w:rPr>
                  <w:rStyle w:val="InternetLink"/>
                  <w:rFonts w:ascii="Times New Roman;serif" w:hAnsi="Times New Roman;serif"/>
                  <w:b w:val="false"/>
                  <w:strike w:val="false"/>
                  <w:dstrike w:val="false"/>
                  <w:color w:val="000000"/>
                  <w:sz w:val="24"/>
                  <w:u w:val="none"/>
                  <w:effect w:val="none"/>
                </w:rPr>
                <w:t xml:space="preserve">Section 10.4    Successors and Assigns.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8240dd639b46e4bca24ddc9f9b5dcd">
              <w:r>
                <w:rPr>
                  <w:rStyle w:val="InternetLink"/>
                  <w:rFonts w:ascii="Times New Roman;serif" w:hAnsi="Times New Roman;serif"/>
                  <w:b w:val="false"/>
                  <w:strike w:val="false"/>
                  <w:dstrike w:val="false"/>
                  <w:color w:val="000000"/>
                  <w:sz w:val="24"/>
                  <w:u w:val="none"/>
                  <w:effect w:val="none"/>
                </w:rPr>
                <w:t>139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46b544237e0482bb149fbcb3be5c618">
              <w:r>
                <w:rPr>
                  <w:rStyle w:val="InternetLink"/>
                  <w:rFonts w:ascii="Times New Roman;serif" w:hAnsi="Times New Roman;serif"/>
                  <w:b w:val="false"/>
                  <w:strike w:val="false"/>
                  <w:dstrike w:val="false"/>
                  <w:color w:val="000000"/>
                  <w:sz w:val="24"/>
                  <w:u w:val="none"/>
                  <w:effect w:val="none"/>
                </w:rPr>
                <w:t>Section 10.5    Governing Law; Jurisdiction; Consent to Service of Process.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6b544237e0482bb149fbcb3be5c618">
              <w:r>
                <w:rPr>
                  <w:rStyle w:val="InternetLink"/>
                  <w:rFonts w:ascii="Times New Roman;serif" w:hAnsi="Times New Roman;serif"/>
                  <w:b w:val="false"/>
                  <w:strike w:val="false"/>
                  <w:dstrike w:val="false"/>
                  <w:color w:val="000000"/>
                  <w:sz w:val="24"/>
                  <w:u w:val="none"/>
                  <w:effect w:val="none"/>
                </w:rPr>
                <w:t>143</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0e3fb3ca73e420a8a958d85ea5d99af">
              <w:r>
                <w:rPr>
                  <w:rStyle w:val="InternetLink"/>
                  <w:rFonts w:ascii="Times New Roman;serif" w:hAnsi="Times New Roman;serif"/>
                  <w:b w:val="false"/>
                  <w:strike w:val="false"/>
                  <w:dstrike w:val="false"/>
                  <w:color w:val="000000"/>
                  <w:sz w:val="24"/>
                  <w:u w:val="none"/>
                  <w:effect w:val="none"/>
                </w:rPr>
                <w:t>Section 10.6    WAIVER OF JURY TRIAL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e3fb3ca73e420a8a958d85ea5d99af">
              <w:r>
                <w:rPr>
                  <w:rStyle w:val="InternetLink"/>
                  <w:rFonts w:ascii="Times New Roman;serif" w:hAnsi="Times New Roman;serif"/>
                  <w:b w:val="false"/>
                  <w:strike w:val="false"/>
                  <w:dstrike w:val="false"/>
                  <w:color w:val="000000"/>
                  <w:sz w:val="24"/>
                  <w:u w:val="none"/>
                  <w:effect w:val="none"/>
                </w:rPr>
                <w:t>143</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7e6b662e0f9447295e46ecfd5489ba4">
              <w:r>
                <w:rPr>
                  <w:rStyle w:val="InternetLink"/>
                  <w:rFonts w:ascii="Times New Roman;serif" w:hAnsi="Times New Roman;serif"/>
                  <w:b w:val="false"/>
                  <w:strike w:val="false"/>
                  <w:dstrike w:val="false"/>
                  <w:color w:val="000000"/>
                  <w:sz w:val="24"/>
                  <w:u w:val="none"/>
                  <w:effect w:val="none"/>
                </w:rPr>
                <w:t>Section 10.7    Right of Set-off</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e6b662e0f9447295e46ecfd5489ba4">
              <w:r>
                <w:rPr>
                  <w:rStyle w:val="InternetLink"/>
                  <w:rFonts w:ascii="Times New Roman;serif" w:hAnsi="Times New Roman;serif"/>
                  <w:b w:val="false"/>
                  <w:strike w:val="false"/>
                  <w:dstrike w:val="false"/>
                  <w:color w:val="000000"/>
                  <w:sz w:val="24"/>
                  <w:u w:val="none"/>
                  <w:effect w:val="none"/>
                </w:rPr>
                <w:t>144</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dee818555f245919c2562c8e5257301">
              <w:r>
                <w:rPr>
                  <w:rStyle w:val="InternetLink"/>
                  <w:rFonts w:ascii="Times New Roman;serif" w:hAnsi="Times New Roman;serif"/>
                  <w:b w:val="false"/>
                  <w:strike w:val="false"/>
                  <w:dstrike w:val="false"/>
                  <w:color w:val="000000"/>
                  <w:sz w:val="24"/>
                  <w:u w:val="none"/>
                  <w:effect w:val="none"/>
                </w:rPr>
                <w:t>Section 10.8    Counterparts; Integration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e818555f245919c2562c8e5257301">
              <w:r>
                <w:rPr>
                  <w:rStyle w:val="InternetLink"/>
                  <w:rFonts w:ascii="Times New Roman;serif" w:hAnsi="Times New Roman;serif"/>
                  <w:b w:val="false"/>
                  <w:strike w:val="false"/>
                  <w:dstrike w:val="false"/>
                  <w:color w:val="000000"/>
                  <w:sz w:val="24"/>
                  <w:u w:val="none"/>
                  <w:effect w:val="none"/>
                </w:rPr>
                <w:t>144</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d6fde0097084063910bb1695022b815">
              <w:r>
                <w:rPr>
                  <w:rStyle w:val="InternetLink"/>
                  <w:rFonts w:ascii="Times New Roman;serif" w:hAnsi="Times New Roman;serif"/>
                  <w:b w:val="false"/>
                  <w:strike w:val="false"/>
                  <w:dstrike w:val="false"/>
                  <w:color w:val="000000"/>
                  <w:sz w:val="24"/>
                  <w:u w:val="none"/>
                  <w:effect w:val="none"/>
                </w:rPr>
                <w:t>Section 10.9    Survival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6fde0097084063910bb1695022b815">
              <w:r>
                <w:rPr>
                  <w:rStyle w:val="InternetLink"/>
                  <w:rFonts w:ascii="Times New Roman;serif" w:hAnsi="Times New Roman;serif"/>
                  <w:b w:val="false"/>
                  <w:strike w:val="false"/>
                  <w:dstrike w:val="false"/>
                  <w:color w:val="000000"/>
                  <w:sz w:val="24"/>
                  <w:u w:val="none"/>
                  <w:effect w:val="none"/>
                </w:rPr>
                <w:t>144</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a23c9197d7481981a46224eb585f88">
              <w:r>
                <w:rPr>
                  <w:rStyle w:val="InternetLink"/>
                  <w:rFonts w:ascii="Times New Roman;serif" w:hAnsi="Times New Roman;serif"/>
                  <w:b w:val="false"/>
                  <w:strike w:val="false"/>
                  <w:dstrike w:val="false"/>
                  <w:color w:val="000000"/>
                  <w:sz w:val="24"/>
                  <w:u w:val="none"/>
                  <w:effect w:val="none"/>
                </w:rPr>
                <w:t>Section 10.10    Severability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23c9197d7481981a46224eb585f88">
              <w:r>
                <w:rPr>
                  <w:rStyle w:val="InternetLink"/>
                  <w:rFonts w:ascii="Times New Roman;serif" w:hAnsi="Times New Roman;serif"/>
                  <w:b w:val="false"/>
                  <w:strike w:val="false"/>
                  <w:dstrike w:val="false"/>
                  <w:color w:val="000000"/>
                  <w:sz w:val="24"/>
                  <w:u w:val="none"/>
                  <w:effect w:val="none"/>
                </w:rPr>
                <w:t>144</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cab74c9e4d940909cb5b2c078a01c22">
              <w:r>
                <w:rPr>
                  <w:rStyle w:val="InternetLink"/>
                  <w:rFonts w:ascii="Times New Roman;serif" w:hAnsi="Times New Roman;serif"/>
                  <w:b w:val="false"/>
                  <w:strike w:val="false"/>
                  <w:dstrike w:val="false"/>
                  <w:color w:val="000000"/>
                  <w:sz w:val="24"/>
                  <w:u w:val="none"/>
                  <w:effect w:val="none"/>
                </w:rPr>
                <w:t>Section 10.11    Confidentiality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b74c9e4d940909cb5b2c078a01c22">
              <w:r>
                <w:rPr>
                  <w:rStyle w:val="InternetLink"/>
                  <w:rFonts w:ascii="Times New Roman;serif" w:hAnsi="Times New Roman;serif"/>
                  <w:b w:val="false"/>
                  <w:strike w:val="false"/>
                  <w:dstrike w:val="false"/>
                  <w:color w:val="000000"/>
                  <w:sz w:val="24"/>
                  <w:u w:val="none"/>
                  <w:effect w:val="none"/>
                </w:rPr>
                <w:t>145</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32d8694099440cea0e24f0682849906">
              <w:r>
                <w:rPr>
                  <w:rStyle w:val="InternetLink"/>
                  <w:rFonts w:ascii="Times New Roman;serif" w:hAnsi="Times New Roman;serif"/>
                  <w:b w:val="false"/>
                  <w:strike w:val="false"/>
                  <w:dstrike w:val="false"/>
                  <w:color w:val="000000"/>
                  <w:sz w:val="24"/>
                  <w:u w:val="none"/>
                  <w:effect w:val="none"/>
                </w:rPr>
                <w:t>Section 10.12    Interest Rate Limitation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2d8694099440cea0e24f0682849906">
              <w:r>
                <w:rPr>
                  <w:rStyle w:val="InternetLink"/>
                  <w:rFonts w:ascii="Times New Roman;serif" w:hAnsi="Times New Roman;serif"/>
                  <w:b w:val="false"/>
                  <w:strike w:val="false"/>
                  <w:dstrike w:val="false"/>
                  <w:color w:val="000000"/>
                  <w:sz w:val="24"/>
                  <w:u w:val="none"/>
                  <w:effect w:val="none"/>
                </w:rPr>
                <w:t>145</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e8b07a51dd2427ea91872a2be9d38e5">
              <w:r>
                <w:rPr>
                  <w:rStyle w:val="InternetLink"/>
                  <w:rFonts w:ascii="Times New Roman;serif" w:hAnsi="Times New Roman;serif"/>
                  <w:b w:val="false"/>
                  <w:strike w:val="false"/>
                  <w:dstrike w:val="false"/>
                  <w:color w:val="000000"/>
                  <w:sz w:val="24"/>
                  <w:u w:val="none"/>
                  <w:effect w:val="none"/>
                </w:rPr>
                <w:t>Section 10.13    Waiver of Effect of Corporate Seal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8b07a51dd2427ea91872a2be9d38e5">
              <w:r>
                <w:rPr>
                  <w:rStyle w:val="InternetLink"/>
                  <w:rFonts w:ascii="Times New Roman;serif" w:hAnsi="Times New Roman;serif"/>
                  <w:b w:val="false"/>
                  <w:strike w:val="false"/>
                  <w:dstrike w:val="false"/>
                  <w:color w:val="000000"/>
                  <w:sz w:val="24"/>
                  <w:u w:val="none"/>
                  <w:effect w:val="none"/>
                </w:rPr>
                <w:t>146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e7f65cf27444bf3ac0c5a9397d5d9f5">
              <w:r>
                <w:rPr>
                  <w:rStyle w:val="InternetLink"/>
                  <w:rFonts w:ascii="Times New Roman;serif" w:hAnsi="Times New Roman;serif"/>
                  <w:b w:val="false"/>
                  <w:strike w:val="false"/>
                  <w:dstrike w:val="false"/>
                  <w:color w:val="000000"/>
                  <w:sz w:val="24"/>
                  <w:u w:val="none"/>
                  <w:effect w:val="none"/>
                </w:rPr>
                <w:t>Section 10.14    Patriot Act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7f65cf27444bf3ac0c5a9397d5d9f5">
              <w:r>
                <w:rPr>
                  <w:rStyle w:val="InternetLink"/>
                  <w:rFonts w:ascii="Times New Roman;serif" w:hAnsi="Times New Roman;serif"/>
                  <w:b w:val="false"/>
                  <w:strike w:val="false"/>
                  <w:dstrike w:val="false"/>
                  <w:color w:val="000000"/>
                  <w:sz w:val="24"/>
                  <w:u w:val="none"/>
                  <w:effect w:val="none"/>
                </w:rPr>
                <w:t>146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47e5beb39864d3a94b091964eb275a4">
              <w:r>
                <w:rPr>
                  <w:rStyle w:val="InternetLink"/>
                  <w:rFonts w:ascii="Times New Roman;serif" w:hAnsi="Times New Roman;serif"/>
                  <w:b w:val="false"/>
                  <w:strike w:val="false"/>
                  <w:dstrike w:val="false"/>
                  <w:color w:val="000000"/>
                  <w:sz w:val="24"/>
                  <w:u w:val="none"/>
                  <w:effect w:val="none"/>
                </w:rPr>
                <w:t>Section 10.15    No Advisory or Fiduciary Responsibility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7e5beb39864d3a94b091964eb275a4">
              <w:r>
                <w:rPr>
                  <w:rStyle w:val="InternetLink"/>
                  <w:rFonts w:ascii="Times New Roman;serif" w:hAnsi="Times New Roman;serif"/>
                  <w:b w:val="false"/>
                  <w:strike w:val="false"/>
                  <w:dstrike w:val="false"/>
                  <w:color w:val="000000"/>
                  <w:sz w:val="24"/>
                  <w:u w:val="none"/>
                  <w:effect w:val="none"/>
                </w:rPr>
                <w:t>146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2b97e0d7e8046fbb757fc648162fea1">
              <w:r>
                <w:rPr>
                  <w:rStyle w:val="InternetLink"/>
                  <w:rFonts w:ascii="Times New Roman;serif" w:hAnsi="Times New Roman;serif"/>
                  <w:b w:val="false"/>
                  <w:strike w:val="false"/>
                  <w:dstrike w:val="false"/>
                  <w:color w:val="000000"/>
                  <w:sz w:val="24"/>
                  <w:u w:val="none"/>
                  <w:effect w:val="none"/>
                </w:rPr>
                <w:t>Section 10.16    [Reserved]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b97e0d7e8046fbb757fc648162fea1">
              <w:r>
                <w:rPr>
                  <w:rStyle w:val="InternetLink"/>
                  <w:rFonts w:ascii="Times New Roman;serif" w:hAnsi="Times New Roman;serif"/>
                  <w:b w:val="false"/>
                  <w:strike w:val="false"/>
                  <w:dstrike w:val="false"/>
                  <w:color w:val="000000"/>
                  <w:sz w:val="24"/>
                  <w:u w:val="none"/>
                  <w:effect w:val="none"/>
                </w:rPr>
                <w:t>146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9054ea6464d4d0e9d70de5427382bd4">
              <w:r>
                <w:rPr>
                  <w:rStyle w:val="InternetLink"/>
                  <w:rFonts w:ascii="Times New Roman;serif" w:hAnsi="Times New Roman;serif"/>
                  <w:b w:val="false"/>
                  <w:strike w:val="false"/>
                  <w:dstrike w:val="false"/>
                  <w:color w:val="000000"/>
                  <w:sz w:val="24"/>
                  <w:u w:val="none"/>
                  <w:effect w:val="none"/>
                </w:rPr>
                <w:t>Section 10.17    Independence of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054ea6464d4d0e9d70de5427382bd4">
              <w:r>
                <w:rPr>
                  <w:rStyle w:val="InternetLink"/>
                  <w:rFonts w:ascii="Times New Roman;serif" w:hAnsi="Times New Roman;serif"/>
                  <w:b w:val="false"/>
                  <w:strike w:val="false"/>
                  <w:dstrike w:val="false"/>
                  <w:color w:val="000000"/>
                  <w:sz w:val="24"/>
                  <w:u w:val="none"/>
                  <w:effect w:val="none"/>
                </w:rPr>
                <w:t>146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793871676944b86a04cd565f912c28e">
              <w:r>
                <w:rPr>
                  <w:rStyle w:val="InternetLink"/>
                  <w:rFonts w:ascii="Times New Roman;serif" w:hAnsi="Times New Roman;serif"/>
                  <w:b w:val="false"/>
                  <w:strike w:val="false"/>
                  <w:dstrike w:val="false"/>
                  <w:color w:val="000000"/>
                  <w:sz w:val="24"/>
                  <w:u w:val="none"/>
                  <w:effect w:val="none"/>
                </w:rPr>
                <w:t>Section 10.18    Acknowledgement and Consent to Bail-In of Affected Financial Institutions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3871676944b86a04cd565f912c28e">
              <w:r>
                <w:rPr>
                  <w:rStyle w:val="InternetLink"/>
                  <w:rFonts w:ascii="Times New Roman;serif" w:hAnsi="Times New Roman;serif"/>
                  <w:b w:val="false"/>
                  <w:strike w:val="false"/>
                  <w:dstrike w:val="false"/>
                  <w:color w:val="000000"/>
                  <w:sz w:val="24"/>
                  <w:u w:val="none"/>
                  <w:effect w:val="none"/>
                </w:rPr>
                <w:t>146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af23b5392c46a68b9d7a11a6bad772">
              <w:r>
                <w:rPr>
                  <w:rStyle w:val="InternetLink"/>
                  <w:rFonts w:ascii="Times New Roman;serif" w:hAnsi="Times New Roman;serif"/>
                  <w:b w:val="false"/>
                  <w:strike w:val="false"/>
                  <w:dstrike w:val="false"/>
                  <w:color w:val="000000"/>
                  <w:sz w:val="24"/>
                  <w:u w:val="none"/>
                  <w:effect w:val="none"/>
                </w:rPr>
                <w:t>Section 10.19    Certain ERISA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af23b5392c46a68b9d7a11a6bad772">
              <w:r>
                <w:rPr>
                  <w:rStyle w:val="InternetLink"/>
                  <w:rFonts w:ascii="Times New Roman;serif" w:hAnsi="Times New Roman;serif"/>
                  <w:b w:val="false"/>
                  <w:strike w:val="false"/>
                  <w:dstrike w:val="false"/>
                  <w:color w:val="000000"/>
                  <w:sz w:val="24"/>
                  <w:u w:val="none"/>
                  <w:effect w:val="none"/>
                </w:rPr>
                <w:t>147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102091e4a2742cd8982e3eb6f758533">
              <w:r>
                <w:rPr>
                  <w:rStyle w:val="InternetLink"/>
                  <w:rFonts w:ascii="Times New Roman;serif" w:hAnsi="Times New Roman;serif"/>
                  <w:b w:val="false"/>
                  <w:strike w:val="false"/>
                  <w:dstrike w:val="false"/>
                  <w:color w:val="000000"/>
                  <w:sz w:val="24"/>
                  <w:u w:val="none"/>
                  <w:effect w:val="none"/>
                </w:rPr>
                <w:t>Section 10.20    Acknowledgement Regarding Any Supported QFCs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02091e4a2742cd8982e3eb6f758533">
              <w:r>
                <w:rPr>
                  <w:rStyle w:val="InternetLink"/>
                  <w:rFonts w:ascii="Times New Roman;serif" w:hAnsi="Times New Roman;serif"/>
                  <w:b w:val="false"/>
                  <w:strike w:val="false"/>
                  <w:dstrike w:val="false"/>
                  <w:color w:val="000000"/>
                  <w:sz w:val="24"/>
                  <w:u w:val="none"/>
                  <w:effect w:val="none"/>
                </w:rPr>
                <w:t>147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1ae784c1523471da6bb13bba865de8d">
              <w:r>
                <w:rPr>
                  <w:rStyle w:val="InternetLink"/>
                  <w:rFonts w:ascii="Times New Roman;serif" w:hAnsi="Times New Roman;serif"/>
                  <w:b w:val="false"/>
                  <w:strike w:val="false"/>
                  <w:dstrike w:val="false"/>
                  <w:color w:val="000000"/>
                  <w:sz w:val="24"/>
                  <w:u w:val="none"/>
                  <w:effect w:val="none"/>
                </w:rPr>
                <w:t>Section 10.21    Electronic 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ae784c1523471da6bb13bba865de8d">
              <w:r>
                <w:rPr>
                  <w:rStyle w:val="InternetLink"/>
                  <w:rFonts w:ascii="Times New Roman;serif" w:hAnsi="Times New Roman;serif"/>
                  <w:b w:val="false"/>
                  <w:strike w:val="false"/>
                  <w:dstrike w:val="false"/>
                  <w:color w:val="000000"/>
                  <w:sz w:val="24"/>
                  <w:u w:val="none"/>
                  <w:effect w:val="none"/>
                </w:rPr>
                <w:t>148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66318eb5ea544339dface22f80d459d">
              <w:r>
                <w:rPr>
                  <w:rStyle w:val="InternetLink"/>
                  <w:rFonts w:ascii="Times New Roman;serif" w:hAnsi="Times New Roman;serif"/>
                  <w:b w:val="false"/>
                  <w:strike w:val="false"/>
                  <w:dstrike w:val="false"/>
                  <w:color w:val="000000"/>
                  <w:sz w:val="24"/>
                  <w:u w:val="none"/>
                  <w:effect w:val="none"/>
                </w:rPr>
                <w:t>Section 10.22    Loans; Not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6318eb5ea544339dface22f80d459d">
              <w:r>
                <w:rPr>
                  <w:rStyle w:val="InternetLink"/>
                  <w:rFonts w:ascii="Times New Roman;serif" w:hAnsi="Times New Roman;serif"/>
                  <w:b w:val="false"/>
                  <w:strike w:val="false"/>
                  <w:dstrike w:val="false"/>
                  <w:color w:val="000000"/>
                  <w:sz w:val="24"/>
                  <w:u w:val="none"/>
                  <w:effect w:val="none"/>
                </w:rPr>
                <w:t>149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1c0ebcef6840b6adc90728e389b727">
              <w:r>
                <w:rPr>
                  <w:rStyle w:val="InternetLink"/>
                  <w:rFonts w:ascii="Times New Roman;serif" w:hAnsi="Times New Roman;serif"/>
                  <w:b w:val="false"/>
                  <w:strike w:val="false"/>
                  <w:dstrike w:val="false"/>
                  <w:color w:val="000000"/>
                  <w:sz w:val="24"/>
                  <w:u w:val="none"/>
                  <w:effect w:val="none"/>
                </w:rPr>
                <w:t>Section 10.23    [Reserved]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1c0ebcef6840b6adc90728e389b727">
              <w:r>
                <w:rPr>
                  <w:rStyle w:val="InternetLink"/>
                  <w:rFonts w:ascii="Times New Roman;serif" w:hAnsi="Times New Roman;serif"/>
                  <w:b w:val="false"/>
                  <w:strike w:val="false"/>
                  <w:dstrike w:val="false"/>
                  <w:color w:val="000000"/>
                  <w:sz w:val="24"/>
                  <w:u w:val="none"/>
                  <w:effect w:val="none"/>
                </w:rPr>
                <w:t>149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b873d1299e9473d9122924f4469ad3e">
              <w:r>
                <w:rPr>
                  <w:rStyle w:val="InternetLink"/>
                  <w:rFonts w:ascii="Times New Roman;serif" w:hAnsi="Times New Roman;serif"/>
                  <w:b w:val="false"/>
                  <w:strike w:val="false"/>
                  <w:dstrike w:val="false"/>
                  <w:color w:val="000000"/>
                  <w:sz w:val="24"/>
                  <w:u w:val="none"/>
                  <w:effect w:val="none"/>
                </w:rPr>
                <w:t>Section 10.24    Releases of Collateral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873d1299e9473d9122924f4469ad3e">
              <w:r>
                <w:rPr>
                  <w:rStyle w:val="InternetLink"/>
                  <w:rFonts w:ascii="Times New Roman;serif" w:hAnsi="Times New Roman;serif"/>
                  <w:b w:val="false"/>
                  <w:strike w:val="false"/>
                  <w:dstrike w:val="false"/>
                  <w:color w:val="000000"/>
                  <w:sz w:val="24"/>
                  <w:u w:val="none"/>
                  <w:effect w:val="none"/>
                </w:rPr>
                <w:t>149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036955"/>
                <wp:effectExtent l="0" t="0" r="0" b="0"/>
                <wp:wrapNone/>
                <wp:docPr id="125" name="Frame12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tbl>
      <w:tblPr>
        <w:tblW w:w="9131" w:type="dxa"/>
        <w:jc w:val="left"/>
        <w:tblInd w:w="0" w:type="dxa"/>
        <w:tblLayout w:type="fixed"/>
        <w:tblCellMar>
          <w:top w:w="28" w:type="dxa"/>
          <w:left w:w="28" w:type="dxa"/>
          <w:bottom w:w="28" w:type="dxa"/>
          <w:right w:w="28" w:type="dxa"/>
        </w:tblCellMar>
      </w:tblPr>
      <w:tblGrid>
        <w:gridCol w:w="525"/>
        <w:gridCol w:w="464"/>
        <w:gridCol w:w="465"/>
        <w:gridCol w:w="109"/>
        <w:gridCol w:w="109"/>
        <w:gridCol w:w="109"/>
        <w:gridCol w:w="2153"/>
        <w:gridCol w:w="2153"/>
        <w:gridCol w:w="304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Applicable Margins, Applicable Percentage and Applicable Ticking Fee Rate</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Commitment Amounts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Immaterial Subsidiaries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4.14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Subsidiaries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4.22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Healthcare Matters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5.17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Post-Closing Obligations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Indebtedness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Liens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7.4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Existing Investments </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7.6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Existing Exclusive Licenses </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7.7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Existing Transactions with Affiliates </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p>
      <w:pPr>
        <w:pStyle w:val="TextBody"/>
        <w:bidi w:val="0"/>
        <w:spacing w:before="0" w:after="0"/>
        <w:jc w:val="left"/>
        <w:rPr/>
      </w:pPr>
      <w:r>
        <w:rPr/>
      </w:r>
    </w:p>
    <w:tbl>
      <w:tblPr>
        <w:tblW w:w="6507" w:type="dxa"/>
        <w:jc w:val="left"/>
        <w:tblInd w:w="0" w:type="dxa"/>
        <w:tblLayout w:type="fixed"/>
        <w:tblCellMar>
          <w:top w:w="28" w:type="dxa"/>
          <w:left w:w="28" w:type="dxa"/>
          <w:bottom w:w="28" w:type="dxa"/>
          <w:right w:w="28" w:type="dxa"/>
        </w:tblCellMar>
      </w:tblPr>
      <w:tblGrid>
        <w:gridCol w:w="700"/>
        <w:gridCol w:w="615"/>
        <w:gridCol w:w="620"/>
        <w:gridCol w:w="109"/>
        <w:gridCol w:w="109"/>
        <w:gridCol w:w="109"/>
        <w:gridCol w:w="1242"/>
        <w:gridCol w:w="1242"/>
        <w:gridCol w:w="1761"/>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Assignment and Acceptance</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Notice of Revolving Borrowing</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Notice of Swingline Borrowing</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Notice of Term Loan Borrowing</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Notice of Conversion/Continuation</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Exhibits 2.20A – 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Tax Certificates</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3.1(b)(ii)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Secretary’s Certificate</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3.1(b)(v)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Officer’s Certificate</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3.1(b)(vii)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Solvency Certificate</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5.1(c)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_</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Compliance Certificate</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036955"/>
                <wp:effectExtent l="0" t="0" r="0" b="0"/>
                <wp:wrapNone/>
                <wp:docPr id="126" name="Frame12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w:t>
      </w:r>
      <w:r>
        <w:rPr>
          <w:color w:val="000000"/>
        </w:rPr>
        <w:t xml:space="preserve"> </w:t>
      </w:r>
      <w:r>
        <w:rPr>
          <w:rFonts w:ascii="Times New Roman;serif" w:hAnsi="Times New Roman;serif"/>
          <w:b/>
          <w:color w:val="000000"/>
          <w:sz w:val="22"/>
        </w:rPr>
        <w:t>CREDIT AGREEMENT</w:t>
      </w:r>
      <w:r>
        <w:rPr>
          <w:color w:val="000000"/>
        </w:rPr>
        <w:t xml:space="preserve"> </w:t>
      </w:r>
      <w:r>
        <w:rPr>
          <w:rFonts w:ascii="Times New Roman;serif" w:hAnsi="Times New Roman;serif"/>
          <w:b w:val="false"/>
          <w:color w:val="000000"/>
          <w:sz w:val="22"/>
        </w:rPr>
        <w:t>(as amended, restated, supplemented or otherwise modified from time to time,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is made and entered into as of December 23, 2025, by and among </w:t>
      </w:r>
      <w:r>
        <w:rPr>
          <w:rFonts w:ascii="Times New Roman;serif" w:hAnsi="Times New Roman;serif"/>
          <w:b/>
          <w:color w:val="000000"/>
          <w:sz w:val="22"/>
        </w:rPr>
        <w:t>COLLEGIUM PHARMACEUTICAL, INC.</w:t>
      </w:r>
      <w:r>
        <w:rPr>
          <w:rFonts w:ascii="Times New Roman;serif" w:hAnsi="Times New Roman;serif"/>
          <w:b w:val="false"/>
          <w:color w:val="000000"/>
          <w:sz w:val="22"/>
        </w:rPr>
        <w:t>, a Virginia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xml:space="preserve">), those several banks and other financial institutions and lenders from time to time party hereto, and </w:t>
      </w:r>
      <w:r>
        <w:rPr>
          <w:rFonts w:ascii="Times New Roman;serif" w:hAnsi="Times New Roman;serif"/>
          <w:b/>
          <w:color w:val="000000"/>
          <w:sz w:val="22"/>
        </w:rPr>
        <w:t>TRUIST BANK</w:t>
      </w:r>
      <w:r>
        <w:rPr>
          <w:rFonts w:ascii="Times New Roman;serif" w:hAnsi="Times New Roman;serif"/>
          <w:b w:val="false"/>
          <w:color w:val="000000"/>
          <w:sz w:val="22"/>
        </w:rPr>
        <w:t>, in its capacity as administrative agent for the Lenders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as issuing bank (the “</w:t>
      </w:r>
      <w:r>
        <w:rPr>
          <w:rFonts w:ascii="Times New Roman;serif" w:hAnsi="Times New Roman;serif"/>
          <w:b w:val="false"/>
          <w:color w:val="000000"/>
          <w:sz w:val="22"/>
          <w:u w:val="single"/>
        </w:rPr>
        <w:t>Issuing Bank</w:t>
      </w:r>
      <w:r>
        <w:rPr>
          <w:color w:val="000000"/>
        </w:rPr>
        <w:t>”</w:t>
      </w:r>
      <w:r>
        <w:rPr>
          <w:rFonts w:ascii="Times New Roman;serif" w:hAnsi="Times New Roman;serif"/>
          <w:b w:val="false"/>
          <w:color w:val="000000"/>
          <w:sz w:val="22"/>
        </w:rPr>
        <w:t>) and as swingline lender (the “</w:t>
      </w:r>
      <w:r>
        <w:rPr>
          <w:rFonts w:ascii="Times New Roman;serif" w:hAnsi="Times New Roman;serif"/>
          <w:b w:val="false"/>
          <w:color w:val="000000"/>
          <w:sz w:val="22"/>
          <w:u w:val="single"/>
        </w:rPr>
        <w:t>Swingline Lender</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W I T N E S S E T H:</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Borrower has requested that the Lenders extend senior secured credit facilities to the Borrower on the Closing Date in the form of (i) term A loans in an aggregate principal amount equal to $580,000,000, (ii) delayed draw term loan commitments in an aggregate principal amount equal to $300,000,000 and (iii) a revolving credit facility in an aggregate principal amount equal to $100,000,000;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Lenders, the Issuing Banks and the Swingline Lender, to the extent of their respective Commitments as defined herein, are willing severally to establish the requested senior secured credit facilities (including letters of credit and swingline subfacilities) in favor of the Borrower on the terms and conditions set forth in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the mutual covenants herein contained, the Borrower, the Lenders, the Administrative Agent, the Issuing Bank and the Swingline Lender agree as follows:</w:t>
      </w:r>
    </w:p>
    <w:p>
      <w:pPr>
        <w:pStyle w:val="TextBody"/>
        <w:bidi w:val="0"/>
        <w:spacing w:lineRule="auto" w:line="240" w:before="0" w:after="240"/>
        <w:jc w:val="center"/>
        <w:rPr/>
      </w:pPr>
      <w:bookmarkStart w:id="2" w:name="icf4cc35469414d65ae373d67c3903903"/>
      <w:bookmarkEnd w:id="2"/>
      <w:r>
        <w:rPr>
          <w:rFonts w:ascii="Times New Roman;serif" w:hAnsi="Times New Roman;serif"/>
          <w:b/>
          <w:color w:val="000000"/>
          <w:sz w:val="22"/>
        </w:rPr>
        <w:t>Article I</w:t>
      </w:r>
      <w:r>
        <w:rPr>
          <w:rFonts w:ascii="Times New Roman;serif" w:hAnsi="Times New Roman;serif"/>
          <w:b/>
          <w:color w:val="000000"/>
          <w:sz w:val="22"/>
          <w:u w:val="single"/>
        </w:rPr>
        <w:br/>
        <w:br/>
        <w:t>DEFINITIONS; CONSTRUCTION</w:t>
      </w:r>
    </w:p>
    <w:p>
      <w:pPr>
        <w:pStyle w:val="TextBody"/>
        <w:bidi w:val="0"/>
        <w:spacing w:lineRule="auto" w:line="240" w:before="0" w:after="0"/>
        <w:ind w:left="0" w:right="0" w:firstLine="720"/>
        <w:jc w:val="both"/>
        <w:rPr/>
      </w:pPr>
      <w:bookmarkStart w:id="3" w:name="i89d67fbbbf0c477d9749f94a57d22a9a"/>
      <w:bookmarkEnd w:id="3"/>
      <w:r>
        <w:rPr>
          <w:rFonts w:ascii="Times New Roman;serif" w:hAnsi="Times New Roman;serif"/>
          <w:b/>
          <w:color w:val="000000"/>
          <w:sz w:val="22"/>
        </w:rPr>
        <w:t>Section 1.1</w:t>
      </w:r>
      <w:r>
        <w:rPr>
          <w:rFonts w:ascii="Times New Roman;serif" w:hAnsi="Times New Roman;serif"/>
          <w:b/>
          <w:color w:val="000000"/>
          <w:sz w:val="22"/>
          <w:u w:val="single"/>
        </w:rPr>
        <w:t>Definitions</w:t>
      </w:r>
      <w:r>
        <w:rPr>
          <w:rFonts w:ascii="Times New Roman;serif" w:hAnsi="Times New Roman;serif"/>
          <w:b w:val="false"/>
          <w:color w:val="000000"/>
          <w:sz w:val="22"/>
        </w:rPr>
        <w:t>. In addition to the other terms defined herein, the following terms used herein shall have the meanings herein specified (to be equally applicable to both the singular and plural forms of the terms defined):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2029 Convertible Notes</w:t>
      </w:r>
      <w:r>
        <w:rPr>
          <w:color w:val="000000"/>
        </w:rPr>
        <w:t xml:space="preserve">” </w:t>
      </w:r>
      <w:r>
        <w:rPr>
          <w:rFonts w:ascii="Times New Roman;serif" w:hAnsi="Times New Roman;serif"/>
          <w:b w:val="false"/>
          <w:color w:val="000000"/>
          <w:sz w:val="22"/>
        </w:rPr>
        <w:t xml:space="preserve">shall mean the 2.875% convertible senior notes issued by the Borrower on February 10, 2023, in the aggregate original principal amount of $241,500,000, and maturing on February 15, 2029, unless earlier repurchased, redeemed or converted.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 xml:space="preserve">shall mean (a) any Investment by the Borrower or any of its Subsidiaries in any other Person, pursuant to which such Person shall become a Subsidiary of the Borrower or any of its Subsidiaries or shall be merged with the Borrower or any of its Subsidiaries, (b) any acquisition by the Borrower or any of its Subsidiaries of the assets of any Person (other than a Subsidiary of the Borrower) that constitute all or substantially all of the assets of such Person or a division, business unit or product line of such Person, whether through purchase, merger or other business combination or transaction, (c) a Drug Acquisition or (d) an Exclusive License to develop and commercialize a drug or other product line of any Person.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Lender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shall mean Truist Bank, in its capacity as administrative agent under any of the Loan Documents, or any successor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61695"/>
                <wp:effectExtent l="0" t="0" r="0" b="0"/>
                <wp:wrapNone/>
                <wp:docPr id="127" name="Frame125"/>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shall mean, with respect to each Lender, an administrative questionnaire in the form provided by the Administrative Agent and submitted to the Administrative Agent duly completed by such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shall mean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shall mean, with respect to any Person, another Person that directly, or indirectly through one or more intermediaries, Controls, is Controlled by, or is under common Control with, the specified Person. For the purposes of this definition, “</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shall mean the possession, directly or indirectly, of the power to direct or cause the direction of the management and policies of a Person, whether through the ability to exercise voting power, by control or otherwise. The terms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 xml:space="preserve">have meanings correlative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Revolving Commitment Amount</w:t>
      </w:r>
      <w:r>
        <w:rPr>
          <w:color w:val="000000"/>
        </w:rPr>
        <w:t xml:space="preserve">” </w:t>
      </w:r>
      <w:r>
        <w:rPr>
          <w:rFonts w:ascii="Times New Roman;serif" w:hAnsi="Times New Roman;serif"/>
          <w:b w:val="false"/>
          <w:color w:val="000000"/>
          <w:sz w:val="22"/>
        </w:rPr>
        <w:t>shall mean the aggregate principal amount of the Aggregate Revolving Commitments from time to time. As of the Closing Date, the Aggregate Revolving Commitment Amount is $100,000,000.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Revolving Commitments</w:t>
      </w:r>
      <w:r>
        <w:rPr>
          <w:color w:val="000000"/>
        </w:rPr>
        <w:t xml:space="preserve">” </w:t>
      </w:r>
      <w:r>
        <w:rPr>
          <w:rFonts w:ascii="Times New Roman;serif" w:hAnsi="Times New Roman;serif"/>
          <w:b w:val="false"/>
          <w:color w:val="000000"/>
          <w:sz w:val="22"/>
        </w:rPr>
        <w:t>shall mean, collectively, all Revolving Commitments of all Revolving Lenders at any time outstanding.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All-In Yield</w:t>
      </w:r>
      <w:r>
        <w:rPr>
          <w:color w:val="000000"/>
        </w:rPr>
        <w:t xml:space="preserve">” </w:t>
      </w:r>
      <w:r>
        <w:rPr>
          <w:rFonts w:ascii="Times New Roman;serif" w:hAnsi="Times New Roman;serif"/>
          <w:b w:val="false"/>
          <w:color w:val="000000"/>
          <w:sz w:val="22"/>
        </w:rPr>
        <w:t xml:space="preserve">means, as to any Indebtedness, the yield thereof, whether in the form of interest rate, margin, OID, upfront fees, a SOFR or Base Rate floor greater than the “floor” then in effect on the Term Loans or otherwise;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OID and upfront fees shall be equated to interest rate assuming a 4-year average life to maturity and without any present value discount (or, if less, the stated life to maturity at the time of its incurrence of the applicable Indebtedness); and </w:t>
      </w:r>
      <w:r>
        <w:rPr>
          <w:rFonts w:ascii="Times New Roman;serif" w:hAnsi="Times New Roman;serif"/>
          <w:b w:val="false"/>
          <w:color w:val="000000"/>
          <w:sz w:val="22"/>
          <w:u w:val="single"/>
        </w:rPr>
        <w:t>provided further</w:t>
      </w:r>
      <w:r>
        <w:rPr>
          <w:rFonts w:ascii="Times New Roman;serif" w:hAnsi="Times New Roman;serif"/>
          <w:b w:val="false"/>
          <w:color w:val="000000"/>
          <w:sz w:val="22"/>
        </w:rPr>
        <w:t>, that “All-In Yield” shall not include fees not paid or payable generally to all other lenders by the applicable borrower in connection with the commitment or syndication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shall mean all laws, rules and regulations of any jurisdiction applicable to the Borrower and/or its Subsidiaries concerning or relating to bribery, corruption or money laundering.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Lending Office</w:t>
      </w:r>
      <w:r>
        <w:rPr>
          <w:color w:val="000000"/>
        </w:rPr>
        <w:t xml:space="preserve">” </w:t>
      </w:r>
      <w:r>
        <w:rPr>
          <w:rFonts w:ascii="Times New Roman;serif" w:hAnsi="Times New Roman;serif"/>
          <w:b w:val="false"/>
          <w:color w:val="000000"/>
          <w:sz w:val="22"/>
        </w:rPr>
        <w:t>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Margin</w:t>
      </w:r>
      <w:r>
        <w:rPr>
          <w:color w:val="000000"/>
        </w:rPr>
        <w:t xml:space="preserve">” </w:t>
      </w:r>
      <w:r>
        <w:rPr>
          <w:rFonts w:ascii="Times New Roman;serif" w:hAnsi="Times New Roman;serif"/>
          <w:b w:val="false"/>
          <w:color w:val="000000"/>
          <w:sz w:val="22"/>
        </w:rPr>
        <w:t xml:space="preserve">shall mean, as of any date, with respect to interest on all Loans outstanding on such date, or the letter of credit fee, as the case may be, the percentage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determined by reference to the applicable Consolidated First Lien Net Leverage Ratio in effect on such date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change in such Applicable Margin resulting from a change in the Consolidated First Lien Net Leverage Ratio shall be effective on the second Business Day after which the Borrower delivers each of the financial statements required by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the Compliance Certificate required by </w:t>
      </w:r>
      <w:r>
        <w:rPr>
          <w:rFonts w:ascii="Times New Roman;serif" w:hAnsi="Times New Roman;serif"/>
          <w:b w:val="false"/>
          <w:color w:val="000000"/>
          <w:sz w:val="22"/>
          <w:u w:val="single"/>
        </w:rPr>
        <w:t>Section 5.1(c)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 Borrower shall have failed to deliver such financial statements and such Compliance Certificate when so required, such Applicable Margin shall be at Pricing Level V as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until such time as such financial statements and Compliance Certificate are delivered, at which time such Applicable Margin shall be determined as otherwise provided above in this paragraph. Notwithstanding the foregoing, the Applicable Margin from the Closing Date until the date by which the financial statements and Compliance Certificate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036955"/>
                <wp:effectExtent l="0" t="0" r="0" b="0"/>
                <wp:wrapNone/>
                <wp:docPr id="128" name="Frame12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Fiscal Quarter ending March 31, 2026</w:t>
      </w:r>
      <w:r>
        <w:rPr>
          <w:color w:val="000000"/>
        </w:rPr>
        <w:t xml:space="preserve"> </w:t>
      </w:r>
      <w:r>
        <w:rPr>
          <w:rFonts w:ascii="Times New Roman;serif" w:hAnsi="Times New Roman;serif"/>
          <w:b w:val="false"/>
          <w:color w:val="000000"/>
          <w:sz w:val="22"/>
        </w:rPr>
        <w:t xml:space="preserve">are required to be delivered shall be at Pricing Level I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4" w:name="i564e3cbd62e842b9851a775ed53f218f"/>
      <w:bookmarkEnd w:id="4"/>
      <w:r>
        <w:rPr>
          <w:rFonts w:ascii="Times New Roman;serif" w:hAnsi="Times New Roman;serif"/>
          <w:b w:val="false"/>
          <w:color w:val="000000"/>
          <w:sz w:val="24"/>
        </w:rPr>
        <w:t>(a)</w:t>
      </w:r>
      <w:r>
        <w:rPr>
          <w:rFonts w:ascii="Times New Roman;serif" w:hAnsi="Times New Roman;serif"/>
          <w:b w:val="false"/>
          <w:color w:val="000000"/>
          <w:sz w:val="22"/>
        </w:rPr>
        <w:t xml:space="preserve">In the event that any financial statement or Compliance Certificate delivered hereunder is shown to be inaccurate, and such inaccuracy, if corrected, would have led to the application of a higher Applicable Margin based upon the pricing grids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Accurate Applicable Margin</w:t>
      </w:r>
      <w:r>
        <w:rPr>
          <w:color w:val="000000"/>
        </w:rPr>
        <w:t>”</w:t>
      </w:r>
      <w:r>
        <w:rPr>
          <w:rFonts w:ascii="Times New Roman;serif" w:hAnsi="Times New Roman;serif"/>
          <w:b w:val="false"/>
          <w:color w:val="000000"/>
          <w:sz w:val="22"/>
        </w:rPr>
        <w:t xml:space="preserve">) for any period that such financial statement or Compliance Certificate covered, then (i) the Borrower shall promptly deliver to the Administrative Agent a correct financial statement or Compliance Certificate, as the case may be, for such period, (ii) the Applicable Margin shall be adjusted such that after giving effect to the corrected financial statement or Compliance Certificate, as the case may be, such Applicable Margin shall be reset to the Accurate Applicable Margin based upon the applicable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for such period and (iii) the Borrower shall promptly pay to the Administrative Agent, for the account of the Lenders, the accrued additional interest and fees owing as a result of such Accurate Applicable Margin for such period (and no Default or Event of Default shall have been deemed to occur solely as a result of such underpayment upon timely payment of such additional amounts). The provisions of this definition shall not limit the rights of the Administrative Agent and the Lenders with respect to </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but shall not survive the Revolving Commitment Termination Date or the Maturity Date, as the case may be.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shall mean, as of any date, with respect to the Commitment Fee as of such date, the percentage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determined by reference to the Consolidated First Lien Net Leverage Ratio in effect on such date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change in the Applicable Percentage resulting from a change in the Consolidated First Lien Net Leverage Ratio shall be effective on the second Business Day after which the Borrower delivers each of the financial statements required by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the Compliance Certificate required by </w:t>
      </w:r>
      <w:r>
        <w:rPr>
          <w:rFonts w:ascii="Times New Roman;serif" w:hAnsi="Times New Roman;serif"/>
          <w:b w:val="false"/>
          <w:color w:val="000000"/>
          <w:sz w:val="22"/>
          <w:u w:val="single"/>
        </w:rPr>
        <w:t>Section 5.1(c);</w:t>
      </w:r>
      <w:r>
        <w:rPr>
          <w:color w:val="000000"/>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 Borrower shall have failed to deliver such financial statements and such Compliance Certificate when so required, the Applicable Percentage shall be at Pricing Level V as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until such time as such financial statements and Compliance Certificate are delivered, at which time the Applicable Percentage shall be determined as provided above in this paragraph. Notwithstanding the foregoing, the Applicable Percentage for the Commitment Fee from the Closing Date until the date by which the financial statements and Compliance Certificate for the Fiscal Quarter ending March 31, 2026</w:t>
      </w:r>
      <w:r>
        <w:rPr>
          <w:color w:val="000000"/>
        </w:rPr>
        <w:t xml:space="preserve"> </w:t>
      </w:r>
      <w:r>
        <w:rPr>
          <w:rFonts w:ascii="Times New Roman;serif" w:hAnsi="Times New Roman;serif"/>
          <w:b w:val="false"/>
          <w:color w:val="000000"/>
          <w:sz w:val="22"/>
        </w:rPr>
        <w:t xml:space="preserve">are required to be delivered shall be at Pricing Level I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the event that any financial statement or Compliance Certificate delivered hereunder is shown to be inaccurate, and such inaccuracy, if corrected, would have led to the application of a higher Applicable Percentage based upon the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Accurate Applicable Percentage</w:t>
      </w:r>
      <w:r>
        <w:rPr>
          <w:color w:val="000000"/>
        </w:rPr>
        <w:t>”</w:t>
      </w:r>
      <w:r>
        <w:rPr>
          <w:rFonts w:ascii="Times New Roman;serif" w:hAnsi="Times New Roman;serif"/>
          <w:b w:val="false"/>
          <w:color w:val="000000"/>
          <w:sz w:val="22"/>
        </w:rPr>
        <w:t xml:space="preserve">) for any period that such financial statement or Compliance Certificate covered, then (i) the Borrower shall promptly deliver to the Administrative Agent a correct financial statement or Compliance Certificate, as the case may be, for such period, (ii) the Applicable Percentage shall be adjusted such that after giving effect to the corrected financial statement or Compliance Certificate, as the case may be, the Applicable Percentage shall be reset to the Accurate Applicable Percentage based upon the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for such period and (iii) the Borrower shall promptly pay to the Administrative Agent, for the account of the Revolving Lenders, the accrued additional Commitment Fee owing as a result of such Accurate Applicable Percentage for such period (and no Default or Event of Default shall have been deemed to occur solely as a result of such underpayment upon timely payment of such additional amounts). The provisions of this definition shall not limit the rights of the Administrative Agent and the Revolving Lenders with respect to </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rFonts w:ascii="Times New Roman;serif" w:hAnsi="Times New Roman;serif"/>
          <w:b w:val="false"/>
          <w:color w:val="000000"/>
          <w:sz w:val="22"/>
        </w:rPr>
        <w:t>, but shall not survive the Revolving Commitment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036955"/>
                <wp:effectExtent l="0" t="0" r="0" b="0"/>
                <wp:wrapNone/>
                <wp:docPr id="129" name="Frame12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Ticking Fee Rate</w:t>
      </w:r>
      <w:r>
        <w:rPr>
          <w:color w:val="000000"/>
        </w:rPr>
        <w:t xml:space="preserve">” </w:t>
      </w:r>
      <w:r>
        <w:rPr>
          <w:rFonts w:ascii="Times New Roman;serif" w:hAnsi="Times New Roman;serif"/>
          <w:b w:val="false"/>
          <w:color w:val="000000"/>
          <w:sz w:val="22"/>
        </w:rPr>
        <w:t xml:space="preserve">shall mean, as of any date, with respect to the Delayed Draw Term Ticking Fee as of such date, the percentage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determined by reference to the Consolidated First Lien Net Leverage Ratio in effect on such date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change in the Applicable Ticking Fee Rate resulting from a change in the Consolidated First Lien Net Leverage Ratio shall be effective on the second Business Day after which the Borrower delivers each of the financial statements required by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the Compliance Certificate required by </w:t>
      </w:r>
      <w:r>
        <w:rPr>
          <w:rFonts w:ascii="Times New Roman;serif" w:hAnsi="Times New Roman;serif"/>
          <w:b w:val="false"/>
          <w:color w:val="000000"/>
          <w:sz w:val="22"/>
          <w:u w:val="single"/>
        </w:rPr>
        <w:t>Section 5.1(c);</w:t>
      </w:r>
      <w:r>
        <w:rPr>
          <w:color w:val="000000"/>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 Borrower shall have failed to deliver such financial statements and such Compliance Certificate when so required, the Applicable Ticking Fee Rate shall be at Pricing Level V as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until such time as such financial statements and Compliance Certificate are delivered, at which time the Applicable Ticking Fee Rate shall be determined as provided above in this paragraph. Notwithstanding the foregoing, the Applicable Ticking Fee Rate from the Closing Date until the date by which the financial statements and Compliance Certificate for the Fiscal Quarter ending March 31, 2026</w:t>
      </w:r>
      <w:r>
        <w:rPr>
          <w:color w:val="000000"/>
        </w:rPr>
        <w:t xml:space="preserve"> </w:t>
      </w:r>
      <w:r>
        <w:rPr>
          <w:rFonts w:ascii="Times New Roman;serif" w:hAnsi="Times New Roman;serif"/>
          <w:b w:val="false"/>
          <w:color w:val="000000"/>
          <w:sz w:val="22"/>
        </w:rPr>
        <w:t xml:space="preserve">are required to be delivered shall be at Pricing Level I as set forth on </w:t>
      </w:r>
      <w:r>
        <w:rPr>
          <w:rFonts w:ascii="Times New Roman;serif" w:hAnsi="Times New Roman;serif"/>
          <w:b w:val="false"/>
          <w:color w:val="000000"/>
          <w:sz w:val="22"/>
          <w:u w:val="single"/>
        </w:rPr>
        <w:t>Schedule 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the event that any financial statement or Compliance Certificate delivered hereunder is shown to be inaccurate, and such inaccuracy, if corrected, would have led to the application of a higher Applicable Ticking Fee Rate based upon the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Accurate Applicable Ticking Fee Rate</w:t>
      </w:r>
      <w:r>
        <w:rPr>
          <w:color w:val="000000"/>
        </w:rPr>
        <w:t>”</w:t>
      </w:r>
      <w:r>
        <w:rPr>
          <w:rFonts w:ascii="Times New Roman;serif" w:hAnsi="Times New Roman;serif"/>
          <w:b w:val="false"/>
          <w:color w:val="000000"/>
          <w:sz w:val="22"/>
        </w:rPr>
        <w:t xml:space="preserve">) for any period that such financial statement or Compliance Certificate covered, then (i) the Borrower shall promptly deliver to the Administrative Agent a correct financial statement or Compliance Certificate, as the case may be, for such period, (ii) the Applicable Ticking Fee Rate shall be adjusted such that after giving effect to the corrected financial statement or Compliance Certificate, as the case may be, the Applicable Ticking Fee Rate shall be reset to the Accurate Applicable Ticking Fee Rate based upon the pricing grid set forth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for such period and (iii) the Borrower shall promptly pay to the Administrative Agent, for the account of the Delayed Draw Term Lenders, the accrued additional Delayed Draw Term Ticking Fee owing as a result of such Accurate Ticking Fee Rate for such period (and no Default or Event of Default shall have been deemed to occur solely as a result of such underpayment upon timely payment of such additional amounts). The provisions of this definition shall not limit the rights of the Administrative Agent and the Delayed Draw Term Lenders with respect to </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rFonts w:ascii="Times New Roman;serif" w:hAnsi="Times New Roman;serif"/>
          <w:b w:val="false"/>
          <w:color w:val="000000"/>
          <w:sz w:val="22"/>
        </w:rPr>
        <w:t>, but shall not survive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shall mean any Person (other than a natural Person) that is (or will be)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shall mean Truist Securities, Inc., MUFG Bank, Ltd., Citizens Bank, N.A., Fifth Third Bank, National Association, U.S. Bank National Association and The Huntington National Bank, in their capacities as joint bookrunners and joint lead arrangers.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Assignment and Acceptance</w:t>
      </w:r>
      <w:r>
        <w:rPr>
          <w:color w:val="000000"/>
        </w:rPr>
        <w:t xml:space="preserve">” </w:t>
      </w:r>
      <w:r>
        <w:rPr>
          <w:rFonts w:ascii="Times New Roman;serif" w:hAnsi="Times New Roman;serif"/>
          <w:b w:val="false"/>
          <w:color w:val="000000"/>
          <w:sz w:val="22"/>
        </w:rPr>
        <w:t xml:space="preserve">shall mean an assignment and acceptance entered into by a Lender and an Eligible Assignee (with the consent of any party whose consent is required by </w:t>
      </w:r>
      <w:r>
        <w:rPr>
          <w:rFonts w:ascii="Times New Roman;serif" w:hAnsi="Times New Roman;serif"/>
          <w:b w:val="false"/>
          <w:color w:val="000000"/>
          <w:sz w:val="22"/>
          <w:u w:val="single"/>
        </w:rPr>
        <w:t>Section 10.4(b))</w:t>
      </w:r>
      <w:r>
        <w:rPr>
          <w:color w:val="000000"/>
        </w:rPr>
        <w:t xml:space="preserve"> </w:t>
      </w:r>
      <w:r>
        <w:rPr>
          <w:rFonts w:ascii="Times New Roman;serif" w:hAnsi="Times New Roman;serif"/>
          <w:b w:val="false"/>
          <w:color w:val="000000"/>
          <w:sz w:val="22"/>
        </w:rPr>
        <w:t xml:space="preserve">and accepted by the Administrative Agent, in substantially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hereto or any other form approved by the Administrative Agent.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 xml:space="preserve">shall mean the period from the Closing Date to but excluding the Revolving Commitment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036955"/>
                <wp:effectExtent l="0" t="0" r="0" b="0"/>
                <wp:wrapNone/>
                <wp:docPr id="130" name="Frame12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Available Amount</w:t>
      </w:r>
      <w:r>
        <w:rPr>
          <w:color w:val="000000"/>
        </w:rPr>
        <w:t xml:space="preserve">” </w:t>
      </w:r>
      <w:r>
        <w:rPr>
          <w:rFonts w:ascii="Times New Roman;serif" w:hAnsi="Times New Roman;serif"/>
          <w:b w:val="false"/>
          <w:color w:val="000000"/>
          <w:sz w:val="22"/>
        </w:rPr>
        <w:t>shall mean, as of any date of determination, an amount not less than zero, equal to: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    the aggregate amount of Net Cash Proceeds received by Borrower from or in exchange for the issuance of Capital Stock of the Borrower (other than Disqualified Capital Stock) after the Closing Date and on or prior to such date; </w:t>
      </w:r>
      <w:r>
        <w:rPr>
          <w:rFonts w:ascii="Times New Roman;serif" w:hAnsi="Times New Roman;serif"/>
          <w:b w:val="false"/>
          <w:color w:val="000000"/>
          <w:sz w:val="22"/>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50% of the Consolidated Net Income (which shall not be less than zero in any period) for the period from the first day of the Fiscal Quarter of the Borrower during which the Closing Date occurred to and including the last day of the most recently ended Fiscal Quarter of the Borrower prior to such date; </w:t>
      </w:r>
      <w:r>
        <w:rPr>
          <w:rFonts w:ascii="Times New Roman;serif" w:hAnsi="Times New Roman;serif"/>
          <w:b w:val="false"/>
          <w:color w:val="000000"/>
          <w:sz w:val="22"/>
          <w:u w:val="single"/>
        </w:rPr>
        <w:t>minus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aggregate amount of any Investments or Restricted Payments, in each case, utilizing the Available Amount on or after the Closing Date and on or prior to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Available Incremental Amount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2.23(a)(i)(C)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Available Tenor</w:t>
      </w:r>
      <w:r>
        <w:rPr>
          <w:color w:val="000000"/>
        </w:rPr>
        <w:t xml:space="preserve">” </w:t>
      </w:r>
      <w:r>
        <w:rPr>
          <w:rFonts w:ascii="Times New Roman;serif" w:hAnsi="Times New Roman;serif"/>
          <w:b w:val="false"/>
          <w:color w:val="000000"/>
          <w:sz w:val="22"/>
        </w:rPr>
        <w:t xml:space="preserve">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Section 2.16(e)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 Product Obligations</w:t>
      </w:r>
      <w:r>
        <w:rPr>
          <w:color w:val="000000"/>
        </w:rPr>
        <w:t xml:space="preserve">” </w:t>
      </w:r>
      <w:r>
        <w:rPr>
          <w:rFonts w:ascii="Times New Roman;serif" w:hAnsi="Times New Roman;serif"/>
          <w:b w:val="false"/>
          <w:color w:val="000000"/>
          <w:sz w:val="22"/>
        </w:rPr>
        <w:t>shall mean, collectively, all obligations and other liabilities of any Loan Party to any Bank Product Provider arising with respect to any Bank Products.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 Product Provider</w:t>
      </w:r>
      <w:r>
        <w:rPr>
          <w:color w:val="000000"/>
        </w:rPr>
        <w:t xml:space="preserve">” </w:t>
      </w:r>
      <w:r>
        <w:rPr>
          <w:rFonts w:ascii="Times New Roman;serif" w:hAnsi="Times New Roman;serif"/>
          <w:b w:val="false"/>
          <w:color w:val="000000"/>
          <w:sz w:val="22"/>
        </w:rPr>
        <w:t>shall mean any Person that, at the time it provides any Bank Product to any Loan Party, (i) is a Lender or an Affiliate of a Lender and (ii) except when the Bank Product Provider is Truist Bank and its Affiliates, has provided prior written notice to the Administrative Agent which has been acknowledged by the Borrower of (x) the existence of such Bank Product, (y) the maximum dollar amount of obligations arising thereunder (the “</w:t>
      </w:r>
      <w:r>
        <w:rPr>
          <w:rFonts w:ascii="Times New Roman;serif" w:hAnsi="Times New Roman;serif"/>
          <w:b w:val="false"/>
          <w:color w:val="000000"/>
          <w:sz w:val="22"/>
          <w:u w:val="single"/>
        </w:rPr>
        <w:t>Bank Product Amount</w:t>
      </w:r>
      <w:r>
        <w:rPr>
          <w:color w:val="000000"/>
        </w:rPr>
        <w:t>”</w:t>
      </w:r>
      <w:r>
        <w:rPr>
          <w:rFonts w:ascii="Times New Roman;serif" w:hAnsi="Times New Roman;serif"/>
          <w:b w:val="false"/>
          <w:color w:val="000000"/>
          <w:sz w:val="22"/>
        </w:rPr>
        <w:t xml:space="preserve">) and (z) the methodology to be used by such parties in determining the obligations under such Bank Product from time to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the term “Bank Product Provider” shall include any Person that is the Administrative Agent, an Affiliate of the Administrative Agent, a Lender or an Affiliate of a Lender as of the Closing Date or as of the date that such Person provides any Bank Product to any Loan Party, but subsequently ceases to be the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036955"/>
                <wp:effectExtent l="0" t="0" r="0" b="0"/>
                <wp:wrapNone/>
                <wp:docPr id="131" name="Frame12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Administrative Agent, an Affiliate of the Administrative Agent, a Lender or an Affiliate of a Lender, as the case may be. In no event shall any Bank Product Provider acting in such capacity be deemed a Lender for purposes hereof to the extent of and as to Bank Products except that each reference to the term “Lender”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10.3(b)</w:t>
      </w:r>
      <w:r>
        <w:rPr>
          <w:color w:val="000000"/>
        </w:rPr>
        <w:t xml:space="preserve"> </w:t>
      </w:r>
      <w:r>
        <w:rPr>
          <w:rFonts w:ascii="Times New Roman;serif" w:hAnsi="Times New Roman;serif"/>
          <w:b w:val="false"/>
          <w:color w:val="000000"/>
          <w:sz w:val="22"/>
        </w:rPr>
        <w:t xml:space="preserve">shall be deemed to include such Bank Product Provider and in no event shall the approval of any such person in its capacity as Bank Product Provider be required in connection with the release or termination of any security interest or Lien of the Administrative Agent. The Bank Product Amount may be changed from time to time upon written notice to the Administrative Agent by the applicable Bank Product Provider. No Bank Product Amount may be established at any time that a Default or Event of Default exists.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 Products</w:t>
      </w:r>
      <w:r>
        <w:rPr>
          <w:color w:val="000000"/>
        </w:rPr>
        <w:t xml:space="preserve">” </w:t>
      </w:r>
      <w:r>
        <w:rPr>
          <w:rFonts w:ascii="Times New Roman;serif" w:hAnsi="Times New Roman;serif"/>
          <w:b w:val="false"/>
          <w:color w:val="000000"/>
          <w:sz w:val="22"/>
        </w:rPr>
        <w:t>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cards (including purchasing cards and commercial cards), prepaid cards, including payroll, stored value and gift cards, merchant services processing, and debit card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Base Rate</w:t>
      </w:r>
      <w:r>
        <w:rPr>
          <w:color w:val="000000"/>
        </w:rPr>
        <w:t xml:space="preserve">” </w:t>
      </w:r>
      <w:r>
        <w:rPr>
          <w:rFonts w:ascii="Times New Roman;serif" w:hAnsi="Times New Roman;serif"/>
          <w:b w:val="false"/>
          <w:color w:val="000000"/>
          <w:sz w:val="22"/>
        </w:rPr>
        <w:t xml:space="preserve">shall mean for any day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equal to the highest of (i) the rate of interest which the Administrative Agent announces from time to time as its prime lending rate, as in effect from time to time (the “</w:t>
      </w:r>
      <w:r>
        <w:rPr>
          <w:rFonts w:ascii="Times New Roman;serif" w:hAnsi="Times New Roman;serif"/>
          <w:b w:val="false"/>
          <w:color w:val="000000"/>
          <w:sz w:val="22"/>
          <w:u w:val="single"/>
        </w:rPr>
        <w:t>Prime Rate</w:t>
      </w:r>
      <w:r>
        <w:rPr>
          <w:color w:val="000000"/>
        </w:rPr>
        <w:t>”</w:t>
      </w:r>
      <w:r>
        <w:rPr>
          <w:rFonts w:ascii="Times New Roman;serif" w:hAnsi="Times New Roman;serif"/>
          <w:b w:val="false"/>
          <w:color w:val="000000"/>
          <w:sz w:val="22"/>
        </w:rPr>
        <w:t xml:space="preserve">), (ii) the Federal Funds Rate, as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0.50%, (iii) Term SOFR for a one-month tenor in effect on such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1.00%</w:t>
      </w:r>
      <w:r>
        <w:rPr>
          <w:color w:val="000000"/>
        </w:rPr>
        <w:t xml:space="preserve"> </w:t>
      </w:r>
      <w:r>
        <w:rPr>
          <w:rFonts w:ascii="Times New Roman;serif" w:hAnsi="Times New Roman;serif"/>
          <w:b w:val="false"/>
          <w:color w:val="000000"/>
          <w:sz w:val="22"/>
        </w:rPr>
        <w:t>and (iv) zero percent (0.00%). The Administrative Agent’s prime lending rate is a reference rate and does not necessarily represent the lowest or best rate actually charged to any customer. The Administrative Agent, the Lenders and the Issuing Bank may make commercial loans or other loans at rates of interest at, above, or below the Administrative Agent’s prime lending rate. Any change in the Base Rate due to a change in the Prime Rate, the Federal Funds Rate, or Term SOFR will be effective from and including the effective date of such change in the Prime Rate, the Federal Funds Rate, or Term SOFR, respectively.</w:t>
      </w:r>
    </w:p>
    <w:p>
      <w:pPr>
        <w:pStyle w:val="TextBody"/>
        <w:bidi w:val="0"/>
        <w:spacing w:lineRule="auto" w:line="288" w:before="0" w:after="220"/>
        <w:ind w:left="0" w:right="0" w:firstLine="720"/>
        <w:jc w:val="left"/>
        <w:rPr/>
      </w:pPr>
      <w:r>
        <w:rPr>
          <w:color w:val="000000"/>
        </w:rPr>
        <w:t>“</w:t>
      </w:r>
      <w:r>
        <w:rPr>
          <w:rFonts w:ascii="Times New Roman;serif" w:hAnsi="Times New Roman;serif"/>
          <w:b w:val="false"/>
          <w:color w:val="000000"/>
          <w:sz w:val="22"/>
          <w:u w:val="single"/>
        </w:rPr>
        <w:t>Base Rate Term SOFR Determination Day</w:t>
      </w:r>
      <w:r>
        <w:rPr>
          <w:color w:val="000000"/>
        </w:rPr>
        <w:t xml:space="preserve">” </w:t>
      </w:r>
      <w:r>
        <w:rPr>
          <w:rFonts w:ascii="Times New Roman;serif" w:hAnsi="Times New Roman;serif"/>
          <w:b w:val="false"/>
          <w:color w:val="000000"/>
          <w:sz w:val="22"/>
        </w:rPr>
        <w:t>shall have the meaning set forth in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shall mean,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2.16(b)</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shall mean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 Daily Simple SOFR; and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036955"/>
                <wp:effectExtent l="0" t="0" r="0" b="0"/>
                <wp:wrapNone/>
                <wp:docPr id="132" name="Frame13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for determining a benchmark rate as a replacement to the then-current Benchmark for Dollar-denominated syndicated credit facilities and (ii) the related Benchmark Replacement Adjustment.</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0"/>
        <w:ind w:left="0" w:right="0" w:firstLine="1440"/>
        <w:jc w:val="both"/>
        <w:rPr/>
      </w:pPr>
      <w:r>
        <w:rPr/>
      </w:r>
    </w:p>
    <w:p>
      <w:pPr>
        <w:pStyle w:val="TextBody"/>
        <w:bidi w:val="0"/>
        <w:spacing w:lineRule="auto" w:line="288" w:before="0" w:after="220"/>
        <w:ind w:left="0" w:right="0" w:firstLine="144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shall mean a date and time determined by the Administrative Agent, which date shall be no later than the earlier to occur of the following events with respect to the then-current Benchmark:</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(1)     in the case of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(2)     in the case of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 xml:space="preserve">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non-representativeness will be determined by reference to the most recent statement or publication referenced in such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and even if any Available Tenor of such Benchmark (or such component thereof) continues to be provided on such date.</w:t>
      </w:r>
    </w:p>
    <w:p>
      <w:pPr>
        <w:pStyle w:val="TextBody"/>
        <w:bidi w:val="0"/>
        <w:spacing w:lineRule="auto" w:line="288" w:before="0" w:after="220"/>
        <w:jc w:val="both"/>
        <w:rPr/>
      </w:pPr>
      <w:r>
        <w:rPr>
          <w:rFonts w:ascii="Times New Roman;serif" w:hAnsi="Times New Roman;serif"/>
          <w:b w:val="false"/>
          <w:color w:val="000000"/>
          <w:sz w:val="22"/>
        </w:rPr>
        <w:t xml:space="preserve">For the avoidance of doubt, the “Benchmark Replacement Date” will be deemed to have occurred in the case of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above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 xml:space="preserve">shall mean the occurrence of one or more of the following events with respect to the then-current Benchmark: </w:t>
      </w:r>
    </w:p>
    <w:p>
      <w:pPr>
        <w:pStyle w:val="TextBody"/>
        <w:bidi w:val="0"/>
        <w:spacing w:before="0" w:after="0"/>
        <w:ind w:left="0" w:right="0" w:firstLine="144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such statement or publication, there is no successor administrator that will continue to provide any Available Tenor of such Benchmark (or such component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036955"/>
                <wp:effectExtent l="0" t="0" r="0" b="0"/>
                <wp:wrapNone/>
                <wp:docPr id="133" name="Frame13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(2)a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any Available Tenor of such Benchmark (or such component thereof); or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 xml:space="preserve">shall mean,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and (y) ending at the time that a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shall mean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shall mean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shall have the meaning set forth in the introductory paragraph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 xml:space="preserve">shall mean a borrowing consisting of (i) any Loans of the same Type and Class made, converted or continued on the same date and, in the case of SOFR Loans, as to which a single Interest Period is in effect or (ii) a Swingline Loan.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shall mean (i) any day other than a Saturday, Sunday or other day on which commercial banks in Charlotte, North Carolina or New York, New York are authorized or required by law to close and (ii) if such day relates to a Borrowing of, a payment or prepayment of principal or interest on, a conversion of or into, or an Interest Period for, a SOFR Loan, a determination of Term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036955"/>
                <wp:effectExtent l="0" t="0" r="0" b="0"/>
                <wp:wrapNone/>
                <wp:docPr id="134" name="Frame13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SOFR or a notice with respect to any of the foregoing, any such day described in the immediately preceding clause (i) that is also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Expenditures</w:t>
      </w:r>
      <w:r>
        <w:rPr>
          <w:color w:val="000000"/>
        </w:rPr>
        <w:t xml:space="preserve">” </w:t>
      </w:r>
      <w:r>
        <w:rPr>
          <w:rFonts w:ascii="Times New Roman;serif" w:hAnsi="Times New Roman;serif"/>
          <w:b w:val="false"/>
          <w:color w:val="000000"/>
          <w:sz w:val="22"/>
        </w:rPr>
        <w:t>shall mean, for any period, without duplication, (i) the additions to property, plant and equipment and other capital expenditures of the Borrower and its Subsidiaries that are (or would be) set forth on a consolidated statement of cash flows of the Borrower for such period prepared in accordance with GAAP and (ii) Capital Lease Obligations incurred by the Borrower and its Subsidiaries during such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Lease Obligations</w:t>
      </w:r>
      <w:r>
        <w:rPr>
          <w:color w:val="000000"/>
        </w:rPr>
        <w:t xml:space="preserve">” </w:t>
      </w:r>
      <w:r>
        <w:rPr>
          <w:rFonts w:ascii="Times New Roman;serif" w:hAnsi="Times New Roman;serif"/>
          <w:b w:val="false"/>
          <w:color w:val="000000"/>
          <w:sz w:val="22"/>
        </w:rPr>
        <w:t>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Stock</w:t>
      </w:r>
      <w:r>
        <w:rPr>
          <w:color w:val="000000"/>
        </w:rPr>
        <w:t xml:space="preserve">” </w:t>
      </w:r>
      <w:r>
        <w:rPr>
          <w:rFonts w:ascii="Times New Roman;serif" w:hAnsi="Times New Roman;serif"/>
          <w:b w:val="false"/>
          <w:color w:val="000000"/>
          <w:sz w:val="22"/>
        </w:rPr>
        <w:t>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Exchange Act) (in each case, excluding debt securities convertible to, or exchangeable for,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 xml:space="preserve">shall mean, to pledge and deposit with or deliver to the Administrative Agent, for the benefit of an Issuing Bank or Swingline Lender (as applicable) and the Revolving Lenders, as collateral for L/C Obligations, Obligations in respect of Swingline Loans, or obligations of Revolving Lenders to fund participations in respect of either thereof (as the context may require), cash or deposit account balances or, if the applicable Issuing Bank or Swingline Lender benefitting from such collateral shall agree in its sole discretion, other credit support, in each case pursuant to documentation in form and substance satisfactory to (a) the Administrative Agent and (b) the applicable Issuing Bank or the Swingline Lender (as applicable). “Cash Collateral” shall have a meaning correlative to the foregoing and shall include the proceeds of such cash collateral and other credit support.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within the meaning of Section 957 of the Code or any successor provision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Cayman Security Documents</w:t>
      </w:r>
      <w:r>
        <w:rPr>
          <w:color w:val="000000"/>
        </w:rPr>
        <w:t xml:space="preserve">” </w:t>
      </w:r>
      <w:r>
        <w:rPr>
          <w:rFonts w:ascii="Times New Roman;serif" w:hAnsi="Times New Roman;serif"/>
          <w:b w:val="false"/>
          <w:color w:val="000000"/>
          <w:sz w:val="22"/>
        </w:rPr>
        <w:t xml:space="preserve">means (i) the Cayman Islands law-governed equitable mortgages and (ii) the Cayman Islands law-governed guarantee and debentures, in each case, relating to the Loan Parties incorporated in the Cayman Islands.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 xml:space="preserve">shall mean the occurrence of one or more of the following events: (i) the acquisition of ownership, directly or indirectly, beneficially or of record, by any Person or “group” (within the meaning of the Exchange Act and the rules of the Securities and Exchange Commission thereunder as in effect on the Closing Date) of 35% or more of the outstanding shares of the Capital Stock of the Borrower entitled to vote generally for the election of members of the board of directors of the Borrower, (ii) [reserved] or (iii) any “change of control” (or similar definition) in any other Material Indebtedness. It is understood and agreed that (a) a Person shall not be deemed to have beneficial ownership of Capital Stock subject to a stock purchase agreement, merger agreement or similar agreement until the consummation of the transactions contemplated by such agreement and (b) solely for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036955"/>
                <wp:effectExtent l="0" t="0" r="0" b="0"/>
                <wp:wrapNone/>
                <wp:docPr id="135" name="Frame13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purposes of this definition, a Person or “group” shall not be deemed to beneficially own the Capital Stock of another Person as a result of its ownership of Capital Stock or other securities of such other Person’s parent entity (or other related contractual rights) unless it owns more than 50% of the total voting power of the Capital Stock of such parent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shall mean the occurrence, after the Closing Date,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Class</w:t>
      </w:r>
      <w:r>
        <w:rPr>
          <w:color w:val="000000"/>
        </w:rPr>
        <w:t>”</w:t>
      </w:r>
      <w:r>
        <w:rPr>
          <w:rFonts w:ascii="Times New Roman;serif" w:hAnsi="Times New Roman;serif"/>
          <w:b w:val="false"/>
          <w:color w:val="000000"/>
          <w:sz w:val="22"/>
        </w:rPr>
        <w:t>, when used in reference to any Loan or Borrowing, refers to whether such Loan, or the Loans comprising such Borrowing, are Revolving Loans, Swingline Loans, Term A Loans, Delayed Draw Term Loans, Incremental Term Loans, Extended Term Loans, Extended Revolving Loans, Other Refinancing Term Loans or Other Refinancing Revolving Loans, and when used in reference to any Commitment, refers to whether such Commitment is a Revolving Commitment, a Swingline Commitment, a Term A Loan Commitment, a Delayed Draw Term Loan Commitment, an Incremental Term Loan Commitment, Extended Term Loan Commitment, Extended Revolving Commitment, Other Refinancing Term Loan Commitment or Other Refinancing Revolving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shall mean the date on which the conditions precedent set forth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have been satisfied or waived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 For the avoidance of doubt, the Closing Date occurred on December 23,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 and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shall mean all tangible and intangible property, real and personal, of any Loan Party that is or purports to be the subject of a Lien to the Administrative Agent to secure the whole or any part of the Obligations or any Guarantee thereof, and shall include all casualty insurance proceeds and condemnation awards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shall mean, collectively, the Guaranty and Security Agreement, the Cayman Security Documents, any Mortgages and Environmental Indemnities, the Perfection Certificate, all Copyright Security Agreements, all Patent Security Agreements, all Trademark Security Agreements and all other instruments and agreements now or hereafter securing or perfecting the Liens securing the whole or any part of the Obligations or any Guarantee thereof, all UCC financing statements, fixture filings and stock powers, and all other documents, instruments, agreements and certificates executed and delivered by any Loan Party to the Administrative Agent and the Lenders in connection with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036955"/>
                <wp:effectExtent l="0" t="0" r="0" b="0"/>
                <wp:wrapNone/>
                <wp:docPr id="136" name="Frame13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shall mean a Revolving Commitment, a Swingline Commitment, a Term A Loan Commitment, a Delayed Draw Term Loan Commitment or an Incremental Commitment or any combination thereof (as the context shall permit or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 xml:space="preserve">shall mean the Commodity Exchange Act (7 U.S.C. § 1 </w:t>
      </w:r>
      <w:r>
        <w:rPr>
          <w:rFonts w:ascii="Times New Roman;serif" w:hAnsi="Times New Roman;serif"/>
          <w:b w:val="false"/>
          <w:color w:val="000000"/>
          <w:sz w:val="22"/>
          <w:u w:val="single"/>
        </w:rPr>
        <w:t>et seq</w:t>
      </w:r>
      <w:r>
        <w:rPr>
          <w:rFonts w:ascii="Times New Roman;serif" w:hAnsi="Times New Roman;serif"/>
          <w:b w:val="false"/>
          <w:color w:val="000000"/>
          <w:sz w:val="22"/>
        </w:rPr>
        <w:t>.), as amended and in effect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shall mean a certificate from the principal executive officer or the principal financial officer of the Borrower in the form of, and containing the certifications set forth in, the certificate attached hereto as </w:t>
      </w:r>
      <w:r>
        <w:rPr>
          <w:rFonts w:ascii="Times New Roman;serif" w:hAnsi="Times New Roman;serif"/>
          <w:b w:val="false"/>
          <w:color w:val="000000"/>
          <w:sz w:val="22"/>
          <w:u w:val="single"/>
        </w:rPr>
        <w:t>Exhibit 5.1(c)</w:t>
      </w:r>
      <w:r>
        <w:rPr>
          <w:rFonts w:ascii="Times New Roman;serif" w:hAnsi="Times New Roman;serif"/>
          <w:b w:val="false"/>
          <w:color w:val="000000"/>
          <w:sz w:val="22"/>
        </w:rPr>
        <w:t>.</w:t>
      </w:r>
    </w:p>
    <w:p>
      <w:pPr>
        <w:pStyle w:val="TextBody"/>
        <w:bidi w:val="0"/>
        <w:spacing w:lineRule="auto" w:line="288" w:before="0" w:after="220"/>
        <w:jc w:val="both"/>
        <w:rPr/>
      </w:pPr>
      <w:r>
        <w:rPr>
          <w:color w:val="000000"/>
        </w:rPr>
        <w:t>    “</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 xml:space="preserve">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 xml:space="preserve">shall mean, for the Borrower and its Subsidiaries for any period, determined on a consolidated basis, an amount equal to the sum of: </w:t>
      </w:r>
    </w:p>
    <w:p>
      <w:pPr>
        <w:pStyle w:val="TextBody"/>
        <w:bidi w:val="0"/>
        <w:spacing w:lineRule="auto" w:line="240" w:before="0" w:after="240"/>
        <w:ind w:left="0" w:right="0" w:firstLine="540"/>
        <w:jc w:val="both"/>
        <w:rPr>
          <w:rFonts w:ascii="Times New Roman;serif" w:hAnsi="Times New Roman;serif"/>
          <w:b w:val="false"/>
          <w:color w:val="000000"/>
          <w:sz w:val="22"/>
        </w:rPr>
      </w:pPr>
      <w:bookmarkStart w:id="5" w:name="i1be44ce406ab4c94a5279d5140564d62"/>
      <w:bookmarkEnd w:id="5"/>
      <w:r>
        <w:rPr>
          <w:rFonts w:ascii="Times New Roman;serif" w:hAnsi="Times New Roman;serif"/>
          <w:b w:val="false"/>
          <w:color w:val="000000"/>
          <w:sz w:val="22"/>
        </w:rPr>
        <w:t xml:space="preserve">(i)Consolidated Net Income for such period, </w:t>
      </w:r>
    </w:p>
    <w:p>
      <w:pPr>
        <w:pStyle w:val="TextBody"/>
        <w:bidi w:val="0"/>
        <w:spacing w:lineRule="auto" w:line="288" w:before="0" w:after="220"/>
        <w:jc w:val="both"/>
        <w:rPr/>
      </w:pPr>
      <w:r>
        <w:rPr>
          <w:rFonts w:ascii="Times New Roman;serif" w:hAnsi="Times New Roman;serif"/>
          <w:b w:val="false"/>
          <w:color w:val="000000"/>
          <w:sz w:val="22"/>
          <w:u w:val="single"/>
        </w:rPr>
        <w:t>plus</w:t>
      </w:r>
      <w:r>
        <w:rPr>
          <w:color w:val="000000"/>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(ii)    to the extent reducing Consolidated Net Income for such period (other than as set forth in </w:t>
      </w:r>
      <w:r>
        <w:rPr>
          <w:rFonts w:ascii="Times New Roman;serif" w:hAnsi="Times New Roman;serif"/>
          <w:b w:val="false"/>
          <w:color w:val="000000"/>
          <w:sz w:val="22"/>
          <w:u w:val="single"/>
        </w:rPr>
        <w:t>clause (ii)(R)</w:t>
      </w:r>
      <w:r>
        <w:rPr>
          <w:color w:val="000000"/>
        </w:rPr>
        <w:t xml:space="preserve"> </w:t>
      </w:r>
      <w:r>
        <w:rPr>
          <w:rFonts w:ascii="Times New Roman;serif" w:hAnsi="Times New Roman;serif"/>
          <w:b w:val="false"/>
          <w:color w:val="000000"/>
          <w:sz w:val="22"/>
        </w:rPr>
        <w:t xml:space="preserve">below), and without duplication,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Consolidated Interest Expense,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tax expense with respect to income, profits or capital, including franchise, excise and similar taxes (whether paid, unpaid, estimated or accrued) determined on a consolidated basis in accordance with GAAP,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depreciation and amortization determined on a consolidated basis in accordance with GAAP, </w:t>
      </w:r>
    </w:p>
    <w:p>
      <w:pPr>
        <w:pStyle w:val="TextBody"/>
        <w:bidi w:val="0"/>
        <w:spacing w:lineRule="auto" w:line="288" w:before="0" w:after="220"/>
        <w:ind w:left="0" w:right="0" w:firstLine="720"/>
        <w:jc w:val="both"/>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 xml:space="preserve">transaction costs, fees, expenses and other amounts (including any financing fees, merger and acquisition fees, legal fees and expenses, due diligence fees or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036955"/>
                <wp:effectExtent l="0" t="0" r="0" b="0"/>
                <wp:wrapNone/>
                <wp:docPr id="137" name="Frame13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 xml:space="preserve">any other fees and expenses in connection therewith) incurred in connection with (i) the transactions contemplated to occur on the Closing Date and any Permitted Acquisition, whether or not consummated, during such period and (ii) any Investment, disposition, Restricted Payment, the issuance of Capital Stock of the Borrower, the incurrence or repayment of Indebtedness permitted hereunder, or an amendment or waiver in respect of any agreement evidencing Indebtedness permitted hereunder, in each case, whether or not consummated and to the extent paid within twelve (12) months of the closing or effectiveness of such event or the termination or abandonment of such transaction, as the case may be, </w:t>
      </w:r>
    </w:p>
    <w:p>
      <w:pPr>
        <w:pStyle w:val="TextBody"/>
        <w:bidi w:val="0"/>
        <w:spacing w:lineRule="auto" w:line="288" w:before="0" w:after="220"/>
        <w:ind w:left="0" w:right="0" w:firstLine="720"/>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rPr>
        <w:t xml:space="preserve">any extraordinary, unusual, one-time or non-recurring expense, loss or charge;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adjustments made to Consolidated EBITDA pursuant to this </w:t>
      </w:r>
      <w:r>
        <w:rPr>
          <w:rFonts w:ascii="Times New Roman;serif" w:hAnsi="Times New Roman;serif"/>
          <w:b w:val="false"/>
          <w:color w:val="000000"/>
          <w:sz w:val="22"/>
          <w:u w:val="single"/>
        </w:rPr>
        <w:t>clause (ii)(E)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(ii)(F)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(ii)(R)</w:t>
      </w:r>
      <w:r>
        <w:rPr>
          <w:color w:val="000000"/>
        </w:rPr>
        <w:t xml:space="preserve"> </w:t>
      </w:r>
      <w:r>
        <w:rPr>
          <w:rFonts w:ascii="Times New Roman;serif" w:hAnsi="Times New Roman;serif"/>
          <w:b w:val="false"/>
          <w:color w:val="000000"/>
          <w:sz w:val="22"/>
        </w:rPr>
        <w:t>below shall not exceed twenty percent (20%) of Consolidated EBITDA in the aggregate for any period, calculated immediately before giving effect to the adjustments made to Consolidated EBITDA pursuant to any such addbacks,</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(F)    restructuring charges, expenses or losses, integration costs, retention, recruiting and relocation expenses, expenses arising from severance of employees or management, consolidation costs, closing costs, business optimization costs, costs associated with curtailments or modifications to pension and post-retirement employee benefit plans and other non-recurring expenses not otherwise added back to Consolidated EBITDA, in each case incurred during such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adjustments made to Consolidated EBITDA pursuant to this </w:t>
      </w:r>
      <w:r>
        <w:rPr>
          <w:rFonts w:ascii="Times New Roman;serif" w:hAnsi="Times New Roman;serif"/>
          <w:b w:val="false"/>
          <w:color w:val="000000"/>
          <w:sz w:val="22"/>
          <w:u w:val="single"/>
        </w:rPr>
        <w:t>clause (ii)(F)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(ii)(E)</w:t>
      </w:r>
      <w:r>
        <w:rPr>
          <w:color w:val="000000"/>
        </w:rPr>
        <w:t xml:space="preserve"> </w:t>
      </w:r>
      <w:r>
        <w:rPr>
          <w:rFonts w:ascii="Times New Roman;serif" w:hAnsi="Times New Roman;serif"/>
          <w:b w:val="false"/>
          <w:color w:val="000000"/>
          <w:sz w:val="22"/>
        </w:rPr>
        <w:t xml:space="preserve">above and </w:t>
      </w:r>
      <w:r>
        <w:rPr>
          <w:rFonts w:ascii="Times New Roman;serif" w:hAnsi="Times New Roman;serif"/>
          <w:b w:val="false"/>
          <w:color w:val="000000"/>
          <w:sz w:val="22"/>
          <w:u w:val="single"/>
        </w:rPr>
        <w:t>clause (ii)(R)</w:t>
      </w:r>
      <w:r>
        <w:rPr>
          <w:color w:val="000000"/>
        </w:rPr>
        <w:t xml:space="preserve"> </w:t>
      </w:r>
      <w:r>
        <w:rPr>
          <w:rFonts w:ascii="Times New Roman;serif" w:hAnsi="Times New Roman;serif"/>
          <w:b w:val="false"/>
          <w:color w:val="000000"/>
          <w:sz w:val="22"/>
        </w:rPr>
        <w:t>below shall not exceed twenty percent (20%) of Consolidated EBITDA in the aggregate for any period, calculated immediately before giving effect to the adjustments made to Consolidated EBITDA pursuant to any such addbacks,</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[reserved],</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    non-cash expenses and charges for share-based compensation, unrealized loss on investments, unrealized losses on hedging activities, non-cash losses from equity method investments and discontinued operations,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all other non-cash items reducing Consolidated Net Income (excluding any such non-cash item to the extent it represents an accrual or reserve for potential cash items in any future period or amortization of a prepaid cash item that was paid in a prior period),</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losses in connection with casualty events to the extent covered by insurance with respect to which the applicable insurer has assumed responsibility (without regard to proceeds of business interruption insurance),</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    [reserved],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    costs, fees and expenses incurred in connection with obtaining credit ratings,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036955"/>
                <wp:effectExtent l="0" t="0" r="0" b="0"/>
                <wp:wrapNone/>
                <wp:docPr id="138" name="Frame13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(M)    reasonable expense reimbursements and indemnities and fees of the board of directors (or similar governing body) of the Borrower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adjustments made to Consolidated EBITDA pursuant to this </w:t>
      </w:r>
      <w:r>
        <w:rPr>
          <w:rFonts w:ascii="Times New Roman;serif" w:hAnsi="Times New Roman;serif"/>
          <w:b w:val="false"/>
          <w:color w:val="000000"/>
          <w:sz w:val="22"/>
          <w:u w:val="single"/>
        </w:rPr>
        <w:t>clause (ii)(M)</w:t>
      </w:r>
      <w:r>
        <w:rPr>
          <w:color w:val="000000"/>
        </w:rPr>
        <w:t xml:space="preserve"> </w:t>
      </w:r>
      <w:r>
        <w:rPr>
          <w:rFonts w:ascii="Times New Roman;serif" w:hAnsi="Times New Roman;serif"/>
          <w:b w:val="false"/>
          <w:color w:val="000000"/>
          <w:sz w:val="22"/>
        </w:rPr>
        <w:t>shall not exceed $1,500,000 in the aggregate for any four consecutive Fiscal Quarter period,</w:t>
      </w:r>
    </w:p>
    <w:p>
      <w:pPr>
        <w:pStyle w:val="TextBody"/>
        <w:bidi w:val="0"/>
        <w:spacing w:lineRule="auto" w:line="288" w:before="0" w:after="220"/>
        <w:ind w:left="0" w:right="0" w:firstLine="720"/>
        <w:jc w:val="both"/>
        <w:rPr/>
      </w:pPr>
      <w:r>
        <w:rPr>
          <w:rFonts w:ascii="Times New Roman;serif" w:hAnsi="Times New Roman;serif"/>
          <w:b w:val="false"/>
          <w:color w:val="000000"/>
          <w:sz w:val="22"/>
        </w:rPr>
        <w:t>(N)    loss attributable to non-controlling interests, any income or loss accounted for by the equity method of accounting (except in the case of income to the extent of the amount of cash dividends or cash distributions paid to Borrower or any of its Subsidiaries by the entity accounted for by the equity method of accounting),</w:t>
      </w:r>
      <w:r>
        <w:rPr>
          <w:color w:val="000000"/>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(O)    the cumulative effect of a change in accounting principles,</w:t>
      </w:r>
      <w:r>
        <w:rPr>
          <w:color w:val="000000"/>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(P)    any unrealized gains or losses in respect of currency exchange and/or hedging agreements,</w:t>
      </w:r>
      <w:r>
        <w:rPr>
          <w:color w:val="000000"/>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(Q)    any unrealized foreign currency transaction gains or losses in respect of Indebtedness of any Person denominated in a currency other than the functional currency of such Person,</w:t>
      </w:r>
      <w:r>
        <w:rPr>
          <w:color w:val="000000"/>
        </w:rPr>
        <w:t xml:space="preserve"> </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(R)    the amount of cost savings, cost adjustments, operating expense reductions and synergies (but, for the avoidance of doubt, excluding revenue synergies) reasonably projected in good faith to be realized as a result of actions with respect to which substantial steps have been or are expected to be taken (calculated on a pro forma basis as though such cost savings, cost adjustments, operating expense reductions and synergies had been realized on the first day of such period), which are (i) reasonably expected to have a continuing impact on the Borrower and its Subsidiaries, (ii) reasonably expected to be realized within 24 (twenty-four) months after the last day of such period and (iii) set forth in reasonable detail on a certificate of a Responsible Officer of the Borrower, minus the amount of actual benefits realized during such period from such actions, and minus amounts previously added back under this </w:t>
      </w:r>
      <w:r>
        <w:rPr>
          <w:rFonts w:ascii="Times New Roman;serif" w:hAnsi="Times New Roman;serif"/>
          <w:b w:val="false"/>
          <w:color w:val="000000"/>
          <w:sz w:val="22"/>
          <w:u w:val="single"/>
        </w:rPr>
        <w:t>clause (ii)(R)</w:t>
      </w:r>
      <w:r>
        <w:rPr>
          <w:color w:val="000000"/>
        </w:rPr>
        <w:t xml:space="preserve"> </w:t>
      </w:r>
      <w:r>
        <w:rPr>
          <w:rFonts w:ascii="Times New Roman;serif" w:hAnsi="Times New Roman;serif"/>
          <w:b w:val="false"/>
          <w:color w:val="000000"/>
          <w:sz w:val="22"/>
        </w:rPr>
        <w:t xml:space="preserve">that were not actually realized during the projected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adjustments made to Consolidated EBITDA pursuant to this </w:t>
      </w:r>
      <w:r>
        <w:rPr>
          <w:rFonts w:ascii="Times New Roman;serif" w:hAnsi="Times New Roman;serif"/>
          <w:b w:val="false"/>
          <w:color w:val="000000"/>
          <w:sz w:val="22"/>
          <w:u w:val="single"/>
        </w:rPr>
        <w:t>clause (ii)(R)</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(ii)(E)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(ii)(F)</w:t>
      </w:r>
      <w:r>
        <w:rPr>
          <w:color w:val="000000"/>
        </w:rPr>
        <w:t xml:space="preserve"> </w:t>
      </w:r>
      <w:r>
        <w:rPr>
          <w:rFonts w:ascii="Times New Roman;serif" w:hAnsi="Times New Roman;serif"/>
          <w:b w:val="false"/>
          <w:color w:val="000000"/>
          <w:sz w:val="22"/>
        </w:rPr>
        <w:t>above shall not exceed twenty percent (20%) of Consolidated EBITDA in the aggregate for any period, calculated immediately before giving effect to the adjustments made to Consolidated EBITDA pursuant to any such addbacks, and</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    at the election of the Borrower in its sole discretion, without duplication, (i) any adjustments specifically set forth in (A) the lender model delivered to Truist Bank on October 29, 2025 and/or (B) any quality of earnings report from time to time prepared by Deloitte &amp; Touche LLP or an independent public accounting firm that is otherwise reasonably acceptable to the Administrative Agent in connection with a Permitted Acquisition or other similar Acquisition permitted hereunder to the extent the same has been provided to the Administrative Agent and/or (ii) any adjustments determined on a basis consistent with Article 11 of Securities and Exchange Commission Regulation S-X as in effect prior to January 1, 2021,</w:t>
      </w:r>
    </w:p>
    <w:p>
      <w:pPr>
        <w:pStyle w:val="TextBody"/>
        <w:bidi w:val="0"/>
        <w:spacing w:lineRule="auto" w:line="288" w:before="0" w:after="220"/>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less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036955"/>
                <wp:effectExtent l="0" t="0" r="0" b="0"/>
                <wp:wrapNone/>
                <wp:docPr id="139" name="Frame13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to the extent increasing Consolidated Net Income for such period, and without duplication,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extraordinary, unusual, one-time or non-recurring gains, </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non-cash gains (which shall include, for the avoidance of doubt, non-cash unrealized gains on investments and hedging activities and non-cash income from equity method investments), excluding any non-cash gains that represent the reversal of any accrual of, or cash reserve for, anticipated cash items in any prior period (other than any such accruals or cash reserves that have been added back to Consolidated Net Income in calculating Consolidated EBITDA in accordance with this definition), and</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(C)    any Consolidated EBITDA representing the net income of any Person (other than the Borrower and its Subsidiaries) that is required to be consolidated in the financial statements of the Borrower and its Subsidiaries multiplied by the percentage of such Person’s Capital Stock that is owned by a third party that is wholly unaffiliated with the Borrower and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if the Borrower and its Subsidiaries are contractually obligated to purchase all of the remaining portion of the Capital Stock of such Person (and such contractual obligation is included as Consolidated Total Net Debt in accordance with GAAP), the deduct set forth in this </w:t>
      </w:r>
      <w:r>
        <w:rPr>
          <w:rFonts w:ascii="Times New Roman;serif" w:hAnsi="Times New Roman;serif"/>
          <w:b w:val="false"/>
          <w:color w:val="000000"/>
          <w:sz w:val="22"/>
          <w:u w:val="single"/>
        </w:rPr>
        <w:t>clause (iii)(C)</w:t>
      </w:r>
      <w:r>
        <w:rPr>
          <w:color w:val="000000"/>
        </w:rPr>
        <w:t xml:space="preserve"> </w:t>
      </w:r>
      <w:r>
        <w:rPr>
          <w:rFonts w:ascii="Times New Roman;serif" w:hAnsi="Times New Roman;serif"/>
          <w:b w:val="false"/>
          <w:color w:val="000000"/>
          <w:sz w:val="22"/>
        </w:rPr>
        <w:t>shall not apply with respect to the Consolidated Net Income of such Person.</w:t>
      </w:r>
    </w:p>
    <w:p>
      <w:pPr>
        <w:pStyle w:val="TextBody"/>
        <w:bidi w:val="0"/>
        <w:spacing w:lineRule="auto" w:line="288" w:before="0" w:after="2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calculating compliance with the financial covenants set forth in </w:t>
      </w:r>
      <w:r>
        <w:rPr>
          <w:rFonts w:ascii="Times New Roman;serif" w:hAnsi="Times New Roman;serif"/>
          <w:b w:val="false"/>
          <w:color w:val="000000"/>
          <w:sz w:val="22"/>
          <w:u w:val="single"/>
        </w:rPr>
        <w:t>Article VI</w:t>
      </w:r>
      <w:r>
        <w:rPr>
          <w:rFonts w:ascii="Times New Roman;serif" w:hAnsi="Times New Roman;serif"/>
          <w:b w:val="false"/>
          <w:color w:val="000000"/>
          <w:sz w:val="22"/>
        </w:rPr>
        <w:t>, to the extent that during such period an Acquisition was consummated (including any Permitted Acquisition or other Acquisition permitted hereunder or otherwise approved in writing by the Required Lenders), or any sale, transfer or other disposition of any Person, business, property or assets occurred, Consolidated EBITDA shall be calculated on a Pro Forma Basis with respect to any such Acquisition involving upfront consideration in excess of the Threshold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for the avoidance of doubt, that such calculations on a Pro Forma Basis shall not be required if such Acquisition involves upfront consideration not exceeding the Threshold Amount), with respect to such Person, business, property or assets so acquired or disposed 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First Lien Net Debt</w:t>
      </w:r>
      <w:r>
        <w:rPr>
          <w:color w:val="000000"/>
        </w:rPr>
        <w:t xml:space="preserve">” </w:t>
      </w:r>
      <w:r>
        <w:rPr>
          <w:rFonts w:ascii="Times New Roman;serif" w:hAnsi="Times New Roman;serif"/>
          <w:b w:val="false"/>
          <w:color w:val="000000"/>
          <w:sz w:val="22"/>
        </w:rPr>
        <w:t xml:space="preserve">shall mean, as of any date, (i) Consolidated Total Debt at such date that is secured by a Lien on any assets of the Borrower or any of its Subsidiaries as of such date, less the aggregate principal amount of Indebtedness of the Borrower and its Subsidiaries at such date that is secured by Liens on any assets of the Borrower and its Subsidiaries that are junior to the Lien securing the Obligations,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(ii) the amount of Qualified Cash as of such date in an amount not to exceed $250,000,000.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First Lien Net Leverage Ratio</w:t>
      </w:r>
      <w:r>
        <w:rPr>
          <w:color w:val="000000"/>
        </w:rPr>
        <w:t xml:space="preserve">” </w:t>
      </w:r>
      <w:r>
        <w:rPr>
          <w:rFonts w:ascii="Times New Roman;serif" w:hAnsi="Times New Roman;serif"/>
          <w:b w:val="false"/>
          <w:color w:val="000000"/>
          <w:sz w:val="22"/>
        </w:rPr>
        <w:t>shall mean, as of any date, the ratio of (i) Consolidated First Lien Net Debt as of such date to (ii) Consolidated EBITDA for the most recently ended Test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Fixed Charges</w:t>
      </w:r>
      <w:r>
        <w:rPr>
          <w:color w:val="000000"/>
        </w:rPr>
        <w:t xml:space="preserve">” </w:t>
      </w:r>
      <w:r>
        <w:rPr>
          <w:rFonts w:ascii="Times New Roman;serif" w:hAnsi="Times New Roman;serif"/>
          <w:b w:val="false"/>
          <w:color w:val="000000"/>
          <w:sz w:val="22"/>
        </w:rPr>
        <w:t>shall mean, for the Borrower and its Subsidiaries for any period, the sum (without duplication) of (i) Consolidated Interest Expense paid in cash for such period,</w:t>
      </w:r>
      <w:r>
        <w:rPr>
          <w:color w:val="000000"/>
        </w:rPr>
        <w:t xml:space="preserve"> </w:t>
      </w:r>
      <w:r>
        <w:rPr>
          <w:rFonts w:ascii="Times New Roman;serif" w:hAnsi="Times New Roman;serif"/>
          <w:b w:val="false"/>
          <w:color w:val="000000"/>
          <w:sz w:val="22"/>
        </w:rPr>
        <w:t>(ii) scheduled principal payments made on Consolidated Total Debt during such period (other than in respect of the 2029 Convertible Notes), and (iii) Restricted Payments pursuant to clauses (a) through (c)</w:t>
      </w:r>
      <w:r>
        <w:rPr>
          <w:color w:val="000000"/>
        </w:rPr>
        <w:t xml:space="preserve"> </w:t>
      </w:r>
      <w:r>
        <w:rPr>
          <w:rFonts w:ascii="Times New Roman;serif" w:hAnsi="Times New Roman;serif"/>
          <w:b w:val="false"/>
          <w:color w:val="000000"/>
          <w:sz w:val="22"/>
        </w:rPr>
        <w:t xml:space="preserve">of the definition thereof paid in cash to Persons other than the Loan Parties in respect of Capital Stock of the Borrower during such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each period ending prior to the first anniversary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036955"/>
                <wp:effectExtent l="0" t="0" r="0" b="0"/>
                <wp:wrapNone/>
                <wp:docPr id="140" name="Frame13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Closing Date, amounts under </w:t>
      </w:r>
      <w:r>
        <w:rPr>
          <w:rFonts w:ascii="Times New Roman;serif" w:hAnsi="Times New Roman;serif"/>
          <w:b w:val="false"/>
          <w:color w:val="000000"/>
          <w:sz w:val="22"/>
          <w:u w:val="single"/>
        </w:rPr>
        <w:t>items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of this definition shall be measured from the Closing Date through the last day of such period, </w:t>
      </w:r>
      <w:r>
        <w:rPr>
          <w:rFonts w:ascii="Times New Roman;serif" w:hAnsi="Times New Roman;serif"/>
          <w:b w:val="false"/>
          <w:color w:val="000000"/>
          <w:sz w:val="22"/>
          <w:u w:val="single"/>
        </w:rPr>
        <w:t>divided</w:t>
      </w:r>
      <w:r>
        <w:rPr>
          <w:color w:val="000000"/>
        </w:rPr>
        <w:t xml:space="preserve">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 xml:space="preserve">the number of days in such period, and </w:t>
      </w:r>
      <w:r>
        <w:rPr>
          <w:rFonts w:ascii="Times New Roman;serif" w:hAnsi="Times New Roman;serif"/>
          <w:b w:val="false"/>
          <w:color w:val="000000"/>
          <w:sz w:val="22"/>
          <w:u w:val="single"/>
        </w:rPr>
        <w:t>multiplied</w:t>
      </w:r>
      <w:r>
        <w:rPr>
          <w:color w:val="000000"/>
        </w:rPr>
        <w:t xml:space="preserve">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 xml:space="preserve">365;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Restricted Payments made prior to the Closing Date shall be excluded from </w:t>
      </w:r>
      <w:r>
        <w:rPr>
          <w:rFonts w:ascii="Times New Roman;serif" w:hAnsi="Times New Roman;serif"/>
          <w:b w:val="false"/>
          <w:color w:val="000000"/>
          <w:sz w:val="22"/>
          <w:u w:val="single"/>
        </w:rPr>
        <w:t>item (iii)</w:t>
      </w:r>
      <w:r>
        <w:rPr>
          <w:color w:val="000000"/>
        </w:rPr>
        <w:t xml:space="preserve"> </w:t>
      </w:r>
      <w:r>
        <w:rPr>
          <w:rFonts w:ascii="Times New Roman;serif" w:hAnsi="Times New Roman;serif"/>
          <w:b w:val="false"/>
          <w:color w:val="000000"/>
          <w:sz w:val="22"/>
        </w:rPr>
        <w:t xml:space="preserve">above.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Interest Expense</w:t>
      </w:r>
      <w:r>
        <w:rPr>
          <w:color w:val="000000"/>
        </w:rPr>
        <w:t xml:space="preserve">” </w:t>
      </w:r>
      <w:r>
        <w:rPr>
          <w:rFonts w:ascii="Times New Roman;serif" w:hAnsi="Times New Roman;serif"/>
          <w:b w:val="false"/>
          <w:color w:val="000000"/>
          <w:sz w:val="22"/>
        </w:rPr>
        <w:t xml:space="preserve">shall mean, for the Borrower and its Subsidiaries for any period, determined on a consolidated basis in accordance with GAAP, the sum of (i) total interest expense, including the interest component of any payments in respect of Capital Lease Obligations, capitalized or expensed during such period (whether or not actually paid during such period) plus (ii) the net amount payable or expensed or deducted in calculating Consolidated Net Income (or minus the net amount receivable) with respect to Hedging Transactions during such period (whether or not actually paid or received during such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interest expenses related to the Ironshore Royalty Obligations shall not be included as “Consolidated Interest Expense”.</w:t>
      </w:r>
    </w:p>
    <w:p>
      <w:pPr>
        <w:pStyle w:val="TextBody"/>
        <w:bidi w:val="0"/>
        <w:spacing w:lineRule="auto" w:line="288" w:before="0" w:after="240"/>
        <w:ind w:left="0" w:right="0" w:firstLine="63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 xml:space="preserve">shall mean, for the Borrower and its Subsidiaries for any period, the net income (or loss) of the Borrower and its Subsidiaries for such period determined on a consolidated basis in accordance with GAAP, but excluding therefrom (to the extent otherwise included therein): </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6" w:name="ie0b230ae32d6484d9fd46443b48b62d7"/>
      <w:bookmarkEnd w:id="6"/>
      <w:r>
        <w:rPr>
          <w:rFonts w:ascii="Times New Roman;serif" w:hAnsi="Times New Roman;serif"/>
          <w:b w:val="false"/>
          <w:color w:val="000000"/>
          <w:sz w:val="22"/>
        </w:rPr>
        <w:t xml:space="preserve">(i)any gains attributable to write-ups of assets or the sale of assets (other than the sale of inventory in the ordinary course of business) or losses attributable to the write-down of assets; </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7" w:name="ifff1b9e8361641149e2c74097915adf6"/>
      <w:bookmarkEnd w:id="7"/>
      <w:r>
        <w:rPr>
          <w:rFonts w:ascii="Times New Roman;serif" w:hAnsi="Times New Roman;serif"/>
          <w:b w:val="false"/>
          <w:color w:val="000000"/>
          <w:sz w:val="22"/>
        </w:rPr>
        <w:t xml:space="preserve">(ii)the net income of any Person (other than a Subsidiary) in which the Borrower or any of its Subsidiaries has a joint interest with a third party or a minority interest, except to the extent such net income is actually paid in cash to the Borrower or any of its Subsidiaries by dividend or other distribution during such period; </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8" w:name="ibb223289302d4315af565fbc0efdd53e"/>
      <w:bookmarkEnd w:id="8"/>
      <w:r>
        <w:rPr>
          <w:rFonts w:ascii="Times New Roman;serif" w:hAnsi="Times New Roman;serif"/>
          <w:b w:val="false"/>
          <w:color w:val="000000"/>
          <w:sz w:val="22"/>
        </w:rPr>
        <w:t xml:space="preserve">(iii)the income of any Subsidiary that is not a Loan Party to the extent that the declaration or payment of dividends or similar distributions by such Subsidiary of that income is not at the time permitted by operation of the terms of its charter or any agreement, instrument, judgment, decree, order, statute, rule or governmental regulation applicable to such Subsidiary; </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9" w:name="i3a9ab07f9e2b48a5b836904df84e0d64"/>
      <w:bookmarkEnd w:id="9"/>
      <w:r>
        <w:rPr>
          <w:rFonts w:ascii="Times New Roman;serif" w:hAnsi="Times New Roman;serif"/>
          <w:b w:val="false"/>
          <w:color w:val="000000"/>
          <w:sz w:val="22"/>
        </w:rPr>
        <w:t>(iv)any income (or loss) of any Person accrued prior to the date it becomes a Subsidiary or is merged into or consolidated with the Borrower or any Subsidiary or the date that such Person’s assets are acquired by the Borrower or any Subsidiary;</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10" w:name="i927f786577af4c8691ce2a9cef58c745"/>
      <w:bookmarkEnd w:id="10"/>
      <w:r>
        <w:rPr>
          <w:rFonts w:ascii="Times New Roman;serif" w:hAnsi="Times New Roman;serif"/>
          <w:b w:val="false"/>
          <w:color w:val="000000"/>
          <w:sz w:val="22"/>
        </w:rPr>
        <w:t xml:space="preserve">(v)the cumulative effect of a change in accounting principles and changes as a result of the adoption or modification of accounting policies in accordance with GAAP during such period; </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11" w:name="ib44352d853384998ab95c913aec56b21"/>
      <w:bookmarkEnd w:id="11"/>
      <w:r>
        <w:rPr>
          <w:rFonts w:ascii="Times New Roman;serif" w:hAnsi="Times New Roman;serif"/>
          <w:b w:val="false"/>
          <w:color w:val="000000"/>
          <w:sz w:val="22"/>
        </w:rPr>
        <w:t>(vi)any net after-tax effect of gains or losses on disposed, abandoned or discontinued operations; and</w:t>
      </w:r>
    </w:p>
    <w:p>
      <w:pPr>
        <w:pStyle w:val="TextBody"/>
        <w:bidi w:val="0"/>
        <w:spacing w:lineRule="auto" w:line="240" w:before="0" w:after="240"/>
        <w:ind w:left="0" w:right="0" w:firstLine="630"/>
        <w:jc w:val="both"/>
        <w:rPr>
          <w:rFonts w:ascii="Times New Roman;serif" w:hAnsi="Times New Roman;serif"/>
          <w:b w:val="false"/>
          <w:color w:val="000000"/>
          <w:sz w:val="22"/>
        </w:rPr>
      </w:pPr>
      <w:bookmarkStart w:id="12" w:name="ib7f98bb3807d4d00b1d6af1f098f0921"/>
      <w:bookmarkEnd w:id="12"/>
      <w:r>
        <w:rPr>
          <w:rFonts w:ascii="Times New Roman;serif" w:hAnsi="Times New Roman;serif"/>
          <w:b w:val="false"/>
          <w:color w:val="000000"/>
          <w:sz w:val="22"/>
        </w:rPr>
        <w:t>(vii)the effects of adjustments (including the effects of such adjustments pushed down to the Borrower and its Subsidiaries) in the Borrower’s consolidated financial statements pursuant to GAAP (including in the inventory (including any impact of changes to inventory valuation policy methods, including changes in capitalization of variances), property and equipment, software, goodwill, intangible assets, in-process research and development, deferred revenue and debt line items thereof) resulting from the application of recapitalization accounting or purchase accounting, as the case may be, in relation to any consummated acquisition or joint venture investment or the amortization or write-off or write-down of any amounts thereof, net of Taxes.</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036955"/>
                <wp:effectExtent l="0" t="0" r="0" b="0"/>
                <wp:wrapNone/>
                <wp:docPr id="141" name="Frame13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Secured Net Debt</w:t>
      </w:r>
      <w:r>
        <w:rPr>
          <w:color w:val="000000"/>
        </w:rPr>
        <w:t xml:space="preserve">” </w:t>
      </w:r>
      <w:r>
        <w:rPr>
          <w:rFonts w:ascii="Times New Roman;serif" w:hAnsi="Times New Roman;serif"/>
          <w:b w:val="false"/>
          <w:color w:val="000000"/>
          <w:sz w:val="22"/>
        </w:rPr>
        <w:t xml:space="preserve">shall mean, as of any date, (i) Consolidated Total Debt at such date that is secured by a Lien on any assets of the Borrower or any of its Subsidiaries as of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(ii) the amount of Qualified Cash as of such date in an amount not to exceed $250,000,000.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Secured Net Leverage Ratio</w:t>
      </w:r>
      <w:r>
        <w:rPr>
          <w:color w:val="000000"/>
        </w:rPr>
        <w:t xml:space="preserve">” </w:t>
      </w:r>
      <w:r>
        <w:rPr>
          <w:rFonts w:ascii="Times New Roman;serif" w:hAnsi="Times New Roman;serif"/>
          <w:b w:val="false"/>
          <w:color w:val="000000"/>
          <w:sz w:val="22"/>
        </w:rPr>
        <w:t>shall mean, as of any date, the ratio of (i) Consolidated Secured Net Debt as of such date to (ii) Consolidated EBITDA for the most recently ended Test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 xml:space="preserve">shall mean the consolidated total assets of the Borrower and its Subsidiaries determined in accordance with GAAP as of the last day of the most recently ended Test Period.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Total Debt</w:t>
      </w:r>
      <w:r>
        <w:rPr>
          <w:color w:val="000000"/>
        </w:rPr>
        <w:t xml:space="preserve">” </w:t>
      </w:r>
      <w:r>
        <w:rPr>
          <w:rFonts w:ascii="Times New Roman;serif" w:hAnsi="Times New Roman;serif"/>
          <w:b w:val="false"/>
          <w:color w:val="000000"/>
          <w:sz w:val="22"/>
        </w:rPr>
        <w:t xml:space="preserve">shall mean, as of any date, without duplication, all Indebtedness of the Borrower and its Subsidiaries consisting of (i) debt for borrowed money (other than intercompany debt for borrowed money incurred solely among the Borrower and its Subsidiaries), (ii) notes, bonds, debentures and similar instruments, (iii) Capital Lease Obligations, (iv) unreimbursed letters of credit (but excluding, for the avoidance of doubt, surety, performance or other similar bonds), (v) earn-outs, milestones and royalty obligations (that do not constitute Sales-Based Obligations) to the extent earned, due and payable and not paid within five (5) Business Days (other than to the extent such earn-out, milestone or royalty obligation is being disputed in good faith and by any appropriate measures) and (vi) Guarantees of any of the foregoing, measured on a consolidated basis as of such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Total Net Debt</w:t>
      </w:r>
      <w:r>
        <w:rPr>
          <w:color w:val="000000"/>
        </w:rPr>
        <w:t xml:space="preserve">” </w:t>
      </w:r>
      <w:r>
        <w:rPr>
          <w:rFonts w:ascii="Times New Roman;serif" w:hAnsi="Times New Roman;serif"/>
          <w:b w:val="false"/>
          <w:color w:val="000000"/>
          <w:sz w:val="22"/>
        </w:rPr>
        <w:t xml:space="preserve">shall mean, as of any date, (i) Consolidated Total Debt as of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amount of Qualified Cash as of such date in an amount not to exceed $250,000,000.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Total Net Leverage Ratio</w:t>
      </w:r>
      <w:r>
        <w:rPr>
          <w:color w:val="000000"/>
        </w:rPr>
        <w:t xml:space="preserve">” </w:t>
      </w:r>
      <w:r>
        <w:rPr>
          <w:rFonts w:ascii="Times New Roman;serif" w:hAnsi="Times New Roman;serif"/>
          <w:b w:val="false"/>
          <w:color w:val="000000"/>
          <w:sz w:val="22"/>
        </w:rPr>
        <w:t>shall mean, as of any date, the ratio of (i) Consolidated Total Net Debt as of such date to (ii) Consolidated EBITDA for the most recently ended Test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of any Person shall mean any provision of any security issued by such Person or of any agreement, instrument or undertaking under which such Person is obligated or by which it or any of the property in which it has an interest is bound.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w:t>
      </w:r>
      <w:r>
        <w:rPr>
          <w:color w:val="000000"/>
        </w:rPr>
        <w:t xml:space="preserve">” </w:t>
      </w:r>
      <w:r>
        <w:rPr>
          <w:rFonts w:ascii="Times New Roman;serif" w:hAnsi="Times New Roman;serif"/>
          <w:b w:val="false"/>
          <w:color w:val="000000"/>
          <w:sz w:val="22"/>
        </w:rPr>
        <w:t>shall have the meaning assigned to such term in the Guaranty and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 Security Agreement</w:t>
      </w:r>
      <w:r>
        <w:rPr>
          <w:color w:val="000000"/>
        </w:rPr>
        <w:t xml:space="preserve">” </w:t>
      </w:r>
      <w:r>
        <w:rPr>
          <w:rFonts w:ascii="Times New Roman;serif" w:hAnsi="Times New Roman;serif"/>
          <w:b w:val="false"/>
          <w:color w:val="000000"/>
          <w:sz w:val="22"/>
        </w:rPr>
        <w:t>shall mean any Copyright Security Agreement executed by a Loan Party owning registered Copyrights or applications for Copyrights in favor of the Administrative Agent for the benefit of the Secured Parties, in each case as amended, restated, reaffirmed,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 Refinancing Indebtedness</w:t>
      </w:r>
      <w:r>
        <w:rPr>
          <w:color w:val="000000"/>
        </w:rPr>
        <w:t xml:space="preserve">” </w:t>
      </w:r>
      <w:r>
        <w:rPr>
          <w:rFonts w:ascii="Times New Roman;serif" w:hAnsi="Times New Roman;serif"/>
          <w:b w:val="false"/>
          <w:color w:val="000000"/>
          <w:sz w:val="22"/>
        </w:rPr>
        <w:t>shall mean any Indebtedness incurred pursuant to a Refinancing Amendment, in each case, issued, incurred or otherwise obtained (including by means of the extension or renewal of existing Indebtedness) in exchange for, or to extend, renew, replace or refinance, in whole or part, existing Loans or Commitments (including any successive Credit Agreement Refinancing Indebtedness) (“</w:t>
      </w:r>
      <w:r>
        <w:rPr>
          <w:rFonts w:ascii="Times New Roman;serif" w:hAnsi="Times New Roman;serif"/>
          <w:b w:val="false"/>
          <w:color w:val="000000"/>
          <w:sz w:val="22"/>
          <w:u w:val="single"/>
        </w:rPr>
        <w:t>Refinanced Debt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exchanging, extending, renewing, replacing or refinancing Indebtedness (including, if such Indebtedness includes, in whole or in part, any unused Revolving Commitments, Extended Revolving Commitments or Other Refinancing Revolving Commitments) is in an original aggregate principal amount not greater than the aggregate principal amount of the Refinanced Debt (and, in the case of Refinanced Debt consisting, in whole or in part, of unused Revolving Commitments, Extended Revolving Commitments or Other Refinancing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036955"/>
                <wp:effectExtent l="0" t="0" r="0" b="0"/>
                <wp:wrapNone/>
                <wp:docPr id="142" name="Frame14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Commitments, the amount thereof) except by an amount equal to the sum of (i) unpaid accrued interest and premium thereon, plus reasonable upfront fees and original issue discount on such exchanging, extending, renewing, replacing or refinancing Indebtedness, plus (ii) other reasonable and customary fees and expenses in connection with such exchange, modification, refinancing, refunding, renewal, replacement or extension, (b) such Indebtedness has a maturity equal to or later than, and, except in the case of Other Refinancing Revolving Commitments, a Weighted Average Life to Maturity equal to or greater than, the Refinanced Debt, (c) the terms and conditions of such Indebtedness (except as otherwise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and with respect to pricing, premiums and optional prepayment or redemption terms) are substantially identical to, or (taken as a whole) are no more favorable to the lenders or holders providing such Indebtedness, than those applicable to the Loans or Commitments being refinanced (except for (I) covenants or other provisions applicable only to periods after the latest Maturity Date at the time of incurrence of such Indebtedness </w:t>
      </w:r>
      <w:r>
        <w:rPr>
          <w:rFonts w:ascii="Times New Roman;serif" w:hAnsi="Times New Roman;serif"/>
          <w:b w:val="false"/>
          <w:color w:val="000000"/>
          <w:sz w:val="22"/>
          <w:shd w:fill="FFFFFF" w:val="clear"/>
        </w:rPr>
        <w:t>or (II) as are incorporated into the Loan Documents for the benefit of all existing Lenders (which, in the case of this subclause (II), may, if beneficial for the Lenders, be accomplished via an amendment to the existing Loan Documents entered into between the Borrower, the other Loan Parties and the Administrative Agent, without the consent of the Lenders)</w:t>
      </w:r>
      <w:r>
        <w:rPr>
          <w:rFonts w:ascii="Times New Roman;serif" w:hAnsi="Times New Roman;serif"/>
          <w:b w:val="false"/>
          <w:color w:val="000000"/>
          <w:sz w:val="22"/>
        </w:rPr>
        <w:t>) or that are reasonably satisfactory to the Administrative Agent and (d) such Refinanced Debt shall be repaid, or satisfied and discharged, and all accrued interest, fees and premiums (if any) in connection therewith shall be paid, on the date such Credit Agreement Refinancing Indebtedness is issued, incurred or obtained.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 xml:space="preserve">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shall mean any condition or event that, with the giving of notice or the lapse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Interest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2.13(c).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shall mean, subject to </w:t>
      </w:r>
      <w:r>
        <w:rPr>
          <w:rFonts w:ascii="Times New Roman;serif" w:hAnsi="Times New Roman;serif"/>
          <w:b w:val="false"/>
          <w:color w:val="000000"/>
          <w:sz w:val="22"/>
          <w:u w:val="single"/>
        </w:rPr>
        <w:t>Section 2.26(c)</w:t>
      </w:r>
      <w:r>
        <w:rPr>
          <w:rFonts w:ascii="Times New Roman;serif" w:hAnsi="Times New Roman;serif"/>
          <w:b w:val="false"/>
          <w:color w:val="000000"/>
          <w:sz w:val="22"/>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waived, or (ii) pay to the Administrative Agent, any Issuing Bank, any Swingline Lender or any other Lender any other amount required to be paid by it hereunder (including in respect of its participation in Letters of Credit or Swingline Loans) within two (2) Business Days of the date when due, (b) has notified the Borrower, the Administrative Agent or any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036955"/>
                <wp:effectExtent l="0" t="0" r="0" b="0"/>
                <wp:wrapNone/>
                <wp:docPr id="143" name="Frame14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based on such Lender’s good faith determination that a condition precedent to funding (which condition precedent, together with any applicable default, shall be specifically identified in such writing or public statement) cannot be satisfied or has not been waived),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serif" w:hAnsi="Times New Roman;serif"/>
          <w:b w:val="false"/>
          <w:color w:val="000000"/>
          <w:sz w:val="22"/>
          <w:u w:val="single"/>
        </w:rPr>
        <w:t>Section 2.26(b))</w:t>
      </w:r>
      <w:r>
        <w:rPr>
          <w:color w:val="000000"/>
        </w:rPr>
        <w:t xml:space="preserve"> </w:t>
      </w:r>
      <w:r>
        <w:rPr>
          <w:rFonts w:ascii="Times New Roman;serif" w:hAnsi="Times New Roman;serif"/>
          <w:b w:val="false"/>
          <w:color w:val="000000"/>
          <w:sz w:val="22"/>
        </w:rPr>
        <w:t>upon delivery of written notice of such determination to the Borrower, each Issuing Bank, each Swingline Lender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Ticking Fee</w:t>
      </w:r>
      <w:r>
        <w:rPr>
          <w:color w:val="000000"/>
        </w:rPr>
        <w:t xml:space="preserve">” </w:t>
      </w:r>
      <w:r>
        <w:rPr>
          <w:rFonts w:ascii="Times New Roman;serif" w:hAnsi="Times New Roman;serif"/>
          <w:b w:val="false"/>
          <w:color w:val="000000"/>
          <w:sz w:val="22"/>
        </w:rPr>
        <w:t xml:space="preserve">shall have the meaning specified in </w:t>
      </w:r>
      <w:r>
        <w:rPr>
          <w:rFonts w:ascii="Times New Roman;serif" w:hAnsi="Times New Roman;serif"/>
          <w:b w:val="false"/>
          <w:color w:val="000000"/>
          <w:sz w:val="22"/>
          <w:u w:val="single"/>
        </w:rPr>
        <w:t>Section 2.14(d)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Commitment Termination Date</w:t>
      </w:r>
      <w:r>
        <w:rPr>
          <w:color w:val="000000"/>
        </w:rPr>
        <w:t xml:space="preserve">” </w:t>
      </w:r>
      <w:r>
        <w:rPr>
          <w:rFonts w:ascii="Times New Roman;serif" w:hAnsi="Times New Roman;serif"/>
          <w:b w:val="false"/>
          <w:color w:val="000000"/>
          <w:sz w:val="22"/>
        </w:rPr>
        <w:t xml:space="preserve">shall mean the earliest of (i) June 23, 2027, (ii) the date on which the entire Delayed Draw Term Loan Commitment has been drawn, (iii) the date on which the Delayed Draw Term Loan Commitments are terminated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 xml:space="preserve">and (iv) the date on which all amounts outstanding under this Agreement have been declared or have automatically become due and payable (whether by acceleration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Lender</w:t>
      </w:r>
      <w:r>
        <w:rPr>
          <w:color w:val="000000"/>
        </w:rPr>
        <w:t xml:space="preserve">” </w:t>
      </w:r>
      <w:r>
        <w:rPr>
          <w:rFonts w:ascii="Times New Roman;serif" w:hAnsi="Times New Roman;serif"/>
          <w:b w:val="false"/>
          <w:color w:val="000000"/>
          <w:sz w:val="22"/>
        </w:rPr>
        <w:t>shall mean each Lender with an outstanding Delayed Draw Term Loan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Loan</w:t>
      </w:r>
      <w:r>
        <w:rPr>
          <w:color w:val="000000"/>
        </w:rPr>
        <w:t xml:space="preserve">” </w:t>
      </w:r>
      <w:r>
        <w:rPr>
          <w:rFonts w:ascii="Times New Roman;serif" w:hAnsi="Times New Roman;serif"/>
          <w:b w:val="false"/>
          <w:color w:val="000000"/>
          <w:sz w:val="22"/>
        </w:rPr>
        <w:t xml:space="preserve">shall mean a term loan made by a Term Lender to the Borrower pursuant to </w:t>
      </w:r>
      <w:r>
        <w:rPr>
          <w:rFonts w:ascii="Times New Roman;serif" w:hAnsi="Times New Roman;serif"/>
          <w:b w:val="false"/>
          <w:color w:val="000000"/>
          <w:sz w:val="22"/>
          <w:u w:val="single"/>
        </w:rPr>
        <w:t>Section 2.5(b)</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Loan Commitment</w:t>
      </w:r>
      <w:r>
        <w:rPr>
          <w:color w:val="000000"/>
        </w:rPr>
        <w:t xml:space="preserve">” </w:t>
      </w:r>
      <w:r>
        <w:rPr>
          <w:rFonts w:ascii="Times New Roman;serif" w:hAnsi="Times New Roman;serif"/>
          <w:b w:val="false"/>
          <w:color w:val="000000"/>
          <w:sz w:val="22"/>
        </w:rPr>
        <w:t xml:space="preserve">shall mean, with respect to each Term Lender, the obligation of such Term Lender to make a Delayed Draw Term Loan pursuant to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 xml:space="preserve">in a principal amount not exceeding the amount set forth with respect to such Term Lender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under the column titled “Delayed Draw Term Loan Commitment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Term Lenders’ Delayed Draw Term Loan Commitment shall be automatically reduced after the Closing Date pursuant to </w:t>
      </w:r>
      <w:r>
        <w:rPr>
          <w:rFonts w:ascii="Times New Roman;serif" w:hAnsi="Times New Roman;serif"/>
          <w:b w:val="false"/>
          <w:color w:val="000000"/>
          <w:sz w:val="22"/>
          <w:u w:val="single"/>
        </w:rPr>
        <w:t>Section 3.3</w:t>
      </w:r>
      <w:r>
        <w:rPr>
          <w:rFonts w:ascii="Times New Roman;serif" w:hAnsi="Times New Roman;serif"/>
          <w:b w:val="false"/>
          <w:color w:val="000000"/>
          <w:sz w:val="22"/>
        </w:rPr>
        <w:t>, as applicable. The aggregate principal amount of all Term Lenders’ Delayed Draw Term Loan Commitments as of the Closing Date is $300,000,000.</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Disqualified Capital Stock</w:t>
      </w:r>
      <w:r>
        <w:rPr>
          <w:color w:val="000000"/>
        </w:rPr>
        <w:t xml:space="preserve">” </w:t>
      </w:r>
      <w:r>
        <w:rPr>
          <w:rFonts w:ascii="Times New Roman;serif" w:hAnsi="Times New Roman;serif"/>
          <w:b w:val="false"/>
          <w:color w:val="000000"/>
          <w:sz w:val="22"/>
        </w:rPr>
        <w:t xml:space="preserve">shall mean, with respect to any Person, any Capital Stock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036955"/>
                <wp:effectExtent l="0" t="0" r="0" b="0"/>
                <wp:wrapNone/>
                <wp:docPr id="144" name="Frame14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 xml:space="preserve">of the holder thereof (other than solely for Qualified Capital Stock or upon a sale of assets, casualty event or a change of control, in each case, so long as such event if consummated would constitute an Event of Default if it occurred prior to Payment in Full of the Obligations), pursuant to a sinking fund obligation or otherwise (other than solely for Qualified Capital Stock) or exchangeable or convertible into debt securities of the issuer thereof at the sole option of the holder thereof, in whole or in part, on or prior to the date that is 91 days after the latest Maturity Date then in effect at the time of issuance thereof (other than (i) following Payment in Full of the Obligations or (ii) upon a sale of assets, casualty event or a “change in control”, so long as such event if consummated would also constitute an Event of Default if it occurred prior to Payment in Full of the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Capital Stock is issued to any employee or to any plan for the benefit of employees of the Borrower or its Subsidiaries or by any such plan to such employees, such Capital Stock shall not constitute Disqualified Capital Stock solely because it may be required to be repurchased by the Borrower or its Subsidiaries in order to satisfy applicable statutory or regulatory obligations or as a result of such employee’s termination, death or disability.</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Disqualified Institutions</w:t>
      </w:r>
      <w:r>
        <w:rPr>
          <w:color w:val="000000"/>
        </w:rPr>
        <w:t xml:space="preserve">” </w:t>
      </w:r>
      <w:r>
        <w:rPr>
          <w:rFonts w:ascii="Times New Roman;serif" w:hAnsi="Times New Roman;serif"/>
          <w:b w:val="false"/>
          <w:color w:val="000000"/>
          <w:sz w:val="22"/>
        </w:rPr>
        <w:t xml:space="preserve">shall mean (a) (i) those Persons who are direct competitors of the Borrower or any of its Subsidiaries that are identified in writing to the Administrative Agent by the Borrower from time to time and (ii) any Affiliate of such competitors so identified (other than affiliates that are bona fide debt funds or fixed income investors that are engaged in making or purchasing commercial loans in the ordinary course of business, except to the extent otherwise disqualified pursuant to following clause (b)) that are either (x) separately identified in writing to the Administrative Agent by the Borrower from time to time or (y) clearly identifiable on the basis of the similarity to such affiliate’s name, and (b) those banks, financial institutions and other persons identified in writing prior to the Closing Date to the Administrative Agent by the Borrower or any Affiliate thereof clearly identifiable on the basis of the similarity to such affiliate’s name;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update or supplement to the list of Disqualified Institutions shall not apply retroactively to disqualify any Persons that have previously acquired an assignment or a participation in any Commitment or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any additional designation permitted by the foregoing shall not become effective until three (3) Business Days following delivery of such designation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Disregarded Domestic Subsidiary</w:t>
      </w:r>
      <w:r>
        <w:rPr>
          <w:color w:val="000000"/>
        </w:rPr>
        <w:t xml:space="preserve">” </w:t>
      </w:r>
      <w:r>
        <w:rPr>
          <w:rFonts w:ascii="Times New Roman;serif" w:hAnsi="Times New Roman;serif"/>
          <w:b w:val="false"/>
          <w:color w:val="000000"/>
          <w:sz w:val="22"/>
        </w:rPr>
        <w:t>means any Subsidiary that is organized under the laws of the United States, any state thereof or the District of Columbia that is treated as disregarded for U.S. tax purposes and has no material assets other than the equity of one or more CFCs.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the sign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shall mean lawful money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shall mean each Subsidiary of the Borrower that is organized under the laws of the United States of America or any state thereof, the District of Columbia, or any other jurisdiction within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Drug Acquisition</w:t>
      </w:r>
      <w:r>
        <w:rPr>
          <w:color w:val="000000"/>
        </w:rPr>
        <w:t xml:space="preserve">” </w:t>
      </w:r>
      <w:r>
        <w:rPr>
          <w:rFonts w:ascii="Times New Roman;serif" w:hAnsi="Times New Roman;serif"/>
          <w:b w:val="false"/>
          <w:color w:val="000000"/>
          <w:sz w:val="22"/>
        </w:rPr>
        <w:t>shall mean any acquisition solely or primarily of all or any portion of the rights in respect of one or more drugs, biological products or pharmaceutical products, whether in development or on the market (including related intellectual property), but not of Capital Stock in any Person or any operating business unit.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 xml:space="preserve">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036955"/>
                <wp:effectExtent l="0" t="0" r="0" b="0"/>
                <wp:wrapNone/>
                <wp:docPr id="145" name="Frame14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subsidiary of an institution described in clause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shall mean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shall mean any Person that meets the requirements to be an assignee under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10.4(b)(iii)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Indemnity</w:t>
      </w:r>
      <w:r>
        <w:rPr>
          <w:color w:val="000000"/>
        </w:rPr>
        <w:t xml:space="preserve">” </w:t>
      </w:r>
      <w:r>
        <w:rPr>
          <w:rFonts w:ascii="Times New Roman;serif" w:hAnsi="Times New Roman;serif"/>
          <w:b w:val="false"/>
          <w:color w:val="000000"/>
          <w:sz w:val="22"/>
        </w:rPr>
        <w:t>shall mean each environmental indemnity made by each Loan Party with Real Estate required to be pledged as Collateral in favor of the Administrative Agent for the benefit of the Secured Parties, in each case in form and substance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shall mean all applicable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shall mean any liability, contingent or otherwise (including any liability for damages, costs of environmental investigation and remediation, costs of administrative oversight, fines, natural resource damages, penalties or indemnities), of the Borrower or any of its Subsidiaries directly or indirectly 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shall mean the Employee Retirement Income Security Act of 1974, as amended and in effect from time to time, and any successor statute thereto and the regulations promulgated and rulings issued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shall mean any person that for purposes of Title I or Title IV of ERISA or Section 412 of the Code would be deemed at any relevant time to be a “single employer” or otherwise aggregated with the Borrower or any of its Subsidiaries under Section 414(b), (c), (m) or (o) of the Code or Section 4001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 xml:space="preserve">shall mean (i) any “reportable event” as defined in Section 4043(b) or (c) of ERISA with respect to a Plan (other than an event as to which the PBGC has waived under subsection .22, .23, .25, .27 or .28 of PBGC Regulation Section 4043 the requirement of Section 4043(a) of ERISA that it be notified of such event); (ii) any failure to make a required contribution to any Plan that would result in the imposition of a lien or other encumbrance or the provision of security under Section 430 of the Code or Section 303 or 4068 of ERISA, or the arising of such a lien or encumbrance, there being or arising any “unpaid minimum required contribution” or “accumulated funding deficiency” (as defined or otherwise set forth in Section 4971 of the Code or Part 3 of Subtitle B of Title 1 of ERISA), whether or not waived, or any filing of any request for or receipt of a minimum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036955"/>
                <wp:effectExtent l="0" t="0" r="0" b="0"/>
                <wp:wrapNone/>
                <wp:docPr id="146" name="Frame14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waiver under Section 412 of the Code or Section 302 of ERISA with respect to any Plan or Multiemployer Plan, or that such filing may be made, or any determination that any Plan is, or is expected to be, in at-risk status under Title IV of ERISA; (iii) any incurrence by the Borrower, any of its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the Borrower, any of its Subsidiaries or any of their respective ERISA Affiliates of any liability with respect to the withdrawal or partial withdrawal from any Plan or Multiemployer Plan, or the receipt by the Borrower, any of its Subsidiaries or any of their respective ERISA Affiliates of any notice that a Multiemployer Plan is in endangered or critical status under Section 305 of ERISA; (vi) any receipt by the Borrower, any of its Subsidiaries or any of their respective ERISA Affiliates of any notice, or any receipt by any Multiemployer Plan from the Borrower, any of its Subsidiaries or any of their respective ERISA Affiliates of any notice, concerning the imposition of Withdrawal Liability or a determination that a Multiemployer Plan is, or is expected to be, insolvent or in reorganization, within the meaning of Title IV of ERISA; (vii) engaging in a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9.15(a)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Deficiency Assignment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Impacted Class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Return Deficiency</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Subrogation Rights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shall mean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8.1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Securities Exchange Act of 1934, as amended and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 xml:space="preserve">shall mean any: (a) Subsidiary that is not a Wholly-Owned Subsidiary; (b) Foreign Subsidiary or Disregarded Domestic Subsidiary of the Borrower, in each case, to the extent that adverse tax consequences (which are not de minimis) would result from the provision of a guaranty by such Subsidiary, as reasonably determined by the Borrower in consultation with the Administrative Agent; (c) Subsidiary of the Borrower that is prohibited by applicable laws or contractual obligation (other than with any Affiliate of any Loan Party) from guaranteeing the Obligations or with respect to which any consent, approval, license or authorization from any Governmental Authority would be required for the provision of any such guarantee in each case so long as the Administrative Agent shall have received a certification from a Responsible Officer of the Borrower as to the existence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036955"/>
                <wp:effectExtent l="0" t="0" r="0" b="0"/>
                <wp:wrapNone/>
                <wp:docPr id="147" name="Frame14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applicable law or required consent, approval, license or authorization upon the Administrative Agent’s request for such a certificate,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in the case of such guarantee being prohibited due to a contractual obligation, such contractual obligation shall have been in place on the Closing Date or, if later, at the time such Subsidiary became a Subsidiary, and shall not have been created or amended in contemplation of or in connection with such Person becoming a Subsidiary, and (ii) to the extent any such prohibition is capable of being overcome or eliminated, the Loan Parties shall use commercially reasonable efforts for a period not to exceed ninety (90) days to overcome or eliminate any such prohibition and each such Subsidiary shall cease to be an Excluded Subsidiary if such prohibition shall cease to exist or apply; (d) any Immaterial Subsidiary; and (e) any other Subsidiary of the Borrower to the extent the Administrative Agent and the Borrower reasonably determine the cost, burden, difficulty or consequence of obtaining the guaranty from such Subsidiary outweigh, or are excessive in relation to, the benefit to the Lenders. Notwithstanding anything to the contrary contained in this Agreement or any other Loan Document, (i) no Subsidiary of the Borrower in existence on the Closing Date that is incorporated or organized under the laws of the Cayman Islands shall be an Excluded Subsidiary, (ii) Ironshore Pharmaceuticals Inc. shall not be an Excluded Subsidiary, (iii) each Subsidiary of the Borrower in existence on the Closing Date that is incorporated or organized (x) in Massachusetts for the purpose of receiving tax treatment as a “Security Corporation” under applicable Massachusetts law so long as the provision of a guaranty or other credit support adversely affects such tax treatment as reasonably determined by the Borrower and (y) in Canada shall be deemed an Excluded Subsidiary and (iv) all Subsidiaries of the Borrower that are, on the Closing Date or in the future, borrowers and/or guarantors under any of the 2029 Convertible Notes (or any other Permitted Convertible Indebtedness) shall not be an Excluded Subsidiary.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or incorporated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2.25</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amounts with respect to such Taxes were payable either to such Lender’s assignor immediately before such Lender became a party hereto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036955"/>
                <wp:effectExtent l="0" t="0" r="0" b="0"/>
                <wp:wrapNone/>
                <wp:docPr id="148" name="Frame14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to such Lender immediately before it changed its lending office, (c) Taxes attributable to such Recipient’s failure to comply with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and (d) any Taxes imposed under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Exclusive License</w:t>
      </w:r>
      <w:r>
        <w:rPr>
          <w:color w:val="000000"/>
        </w:rPr>
        <w:t xml:space="preserve">” </w:t>
      </w:r>
      <w:r>
        <w:rPr>
          <w:rFonts w:ascii="Times New Roman;serif" w:hAnsi="Times New Roman;serif"/>
          <w:b w:val="false"/>
          <w:color w:val="000000"/>
          <w:sz w:val="22"/>
        </w:rPr>
        <w:t>shall mean any license to develop and commercialize a drug or other product line of any Person with a term greater than ten years and made on an exclusive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shall mean that certain Second Amended and Restated Loan Agreement, dated as of July 28, 2024, by and among the Borrower, the other Loan Parties party thereto, the lenders party thereto, and Biopharma Credit PLC, as collateral agent, as amended, restated, reaffirmed,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Commitments</w:t>
      </w:r>
      <w:r>
        <w:rPr>
          <w:color w:val="000000"/>
        </w:rPr>
        <w:t xml:space="preserve">” </w:t>
      </w:r>
      <w:r>
        <w:rPr>
          <w:rFonts w:ascii="Times New Roman;serif" w:hAnsi="Times New Roman;serif"/>
          <w:b w:val="false"/>
          <w:color w:val="000000"/>
          <w:sz w:val="22"/>
        </w:rPr>
        <w:t>shall mean the Extended Term Loan Commitments and the Extended Revolving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Facility</w:t>
      </w:r>
      <w:r>
        <w:rPr>
          <w:color w:val="000000"/>
        </w:rPr>
        <w:t xml:space="preserve">” </w:t>
      </w:r>
      <w:r>
        <w:rPr>
          <w:rFonts w:ascii="Times New Roman;serif" w:hAnsi="Times New Roman;serif"/>
          <w:b w:val="false"/>
          <w:color w:val="000000"/>
          <w:sz w:val="22"/>
        </w:rPr>
        <w:t xml:space="preserve">shall mean any additional tranche established pursuant to </w:t>
      </w:r>
      <w:r>
        <w:rPr>
          <w:rFonts w:ascii="Times New Roman;serif" w:hAnsi="Times New Roman;serif"/>
          <w:b w:val="false"/>
          <w:color w:val="000000"/>
          <w:sz w:val="22"/>
          <w:u w:val="single"/>
        </w:rPr>
        <w:t>Section 2.27</w:t>
      </w:r>
      <w:r>
        <w:rPr>
          <w:color w:val="000000"/>
        </w:rPr>
        <w:t xml:space="preserve"> </w:t>
      </w:r>
      <w:r>
        <w:rPr>
          <w:rFonts w:ascii="Times New Roman;serif" w:hAnsi="Times New Roman;serif"/>
          <w:b w:val="false"/>
          <w:color w:val="000000"/>
          <w:sz w:val="22"/>
        </w:rPr>
        <w:t>reflecting an extension of the maturity date and, if applicable, amortization schedule of any existing tranche.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Facility Agreement</w:t>
      </w:r>
      <w:r>
        <w:rPr>
          <w:color w:val="000000"/>
        </w:rPr>
        <w:t xml:space="preserve">” </w:t>
      </w:r>
      <w:r>
        <w:rPr>
          <w:rFonts w:ascii="Times New Roman;serif" w:hAnsi="Times New Roman;serif"/>
          <w:b w:val="false"/>
          <w:color w:val="000000"/>
          <w:sz w:val="22"/>
        </w:rPr>
        <w:t>shall mean an Extended Revolving Credit Facility Agreement or an Extended Term Facility Agreement,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Facility Closing Date</w:t>
      </w:r>
      <w:r>
        <w:rPr>
          <w:color w:val="000000"/>
        </w:rPr>
        <w:t xml:space="preserve">” </w:t>
      </w:r>
      <w:r>
        <w:rPr>
          <w:rFonts w:ascii="Times New Roman;serif" w:hAnsi="Times New Roman;serif"/>
          <w:b w:val="false"/>
          <w:color w:val="000000"/>
          <w:sz w:val="22"/>
        </w:rPr>
        <w:t xml:space="preserve">shall mean, with regard to an Extended Facility, the first date all the conditions precedent set forth in the respective Extended Facility Agreement are satisfied or waived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Facility Lender</w:t>
      </w:r>
      <w:r>
        <w:rPr>
          <w:color w:val="000000"/>
        </w:rPr>
        <w:t xml:space="preserve">” </w:t>
      </w:r>
      <w:r>
        <w:rPr>
          <w:rFonts w:ascii="Times New Roman;serif" w:hAnsi="Times New Roman;serif"/>
          <w:b w:val="false"/>
          <w:color w:val="000000"/>
          <w:sz w:val="22"/>
        </w:rPr>
        <w:t>shall mean, at any time, with regard to an Extended Facility, any Lender that holds Loans or Commitments under such Extended Facility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Revolving Commitments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Revolving Credit Facility</w:t>
      </w:r>
      <w:r>
        <w:rPr>
          <w:color w:val="000000"/>
        </w:rPr>
        <w:t xml:space="preserve">” </w:t>
      </w:r>
      <w:r>
        <w:rPr>
          <w:rFonts w:ascii="Times New Roman;serif" w:hAnsi="Times New Roman;serif"/>
          <w:b w:val="false"/>
          <w:color w:val="000000"/>
          <w:sz w:val="22"/>
        </w:rPr>
        <w:t>shall mean an Extended Facility designated as an “Extended Revolving Credit Facility” by the Borrower and established pursuant to an Extended Revolving Credit Facility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Revolving Credit Facility Agreement</w:t>
      </w:r>
      <w:r>
        <w:rPr>
          <w:color w:val="000000"/>
        </w:rPr>
        <w:t xml:space="preserve">” </w:t>
      </w:r>
      <w:r>
        <w:rPr>
          <w:rFonts w:ascii="Times New Roman;serif" w:hAnsi="Times New Roman;serif"/>
          <w:b w:val="false"/>
          <w:color w:val="000000"/>
          <w:sz w:val="22"/>
        </w:rPr>
        <w:t>shall mean an agreement setting forth the terms and conditions relating to an Extended Revolving Credit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Term Facility</w:t>
      </w:r>
      <w:r>
        <w:rPr>
          <w:color w:val="000000"/>
        </w:rPr>
        <w:t xml:space="preserve">” </w:t>
      </w:r>
      <w:r>
        <w:rPr>
          <w:rFonts w:ascii="Times New Roman;serif" w:hAnsi="Times New Roman;serif"/>
          <w:b w:val="false"/>
          <w:color w:val="000000"/>
          <w:sz w:val="22"/>
        </w:rPr>
        <w:t>shall mean an Extended Facility designated as an “Extended Term Facility” by the Borrower and established pursuant to an Extended Term Facility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Term Facility Agreement</w:t>
      </w:r>
      <w:r>
        <w:rPr>
          <w:color w:val="000000"/>
        </w:rPr>
        <w:t xml:space="preserve">” </w:t>
      </w:r>
      <w:r>
        <w:rPr>
          <w:rFonts w:ascii="Times New Roman;serif" w:hAnsi="Times New Roman;serif"/>
          <w:b w:val="false"/>
          <w:color w:val="000000"/>
          <w:sz w:val="22"/>
        </w:rPr>
        <w:t>shall mean an agreement setting forth the terms and conditions relating to an Extended Term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Term Loan Commitment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Extended Term Loans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Extending Revolving Lender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Extending Term Loan Lender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036955"/>
                <wp:effectExtent l="0" t="0" r="0" b="0"/>
                <wp:wrapNone/>
                <wp:docPr id="149" name="Frame14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Extension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Extension Offer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shall mean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FDA</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4.22(a)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 xml:space="preserve">shall mean, for any day,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Rate shall not be less than zero percent (0%).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Health Care Program</w:t>
      </w:r>
      <w:r>
        <w:rPr>
          <w:color w:val="000000"/>
        </w:rPr>
        <w:t xml:space="preserve">” </w:t>
      </w:r>
      <w:r>
        <w:rPr>
          <w:rFonts w:ascii="Times New Roman;serif" w:hAnsi="Times New Roman;serif"/>
          <w:b w:val="false"/>
          <w:color w:val="000000"/>
          <w:sz w:val="22"/>
        </w:rPr>
        <w:t>means any “federal health care program” as defined in 42 U.S.C. §1320a-7b(f) as amended from time to time, including Medicare, managed Medicare, state Medicaid programs, managed Medicaid, state Medicaid waiver programs, state CHIP programs, TRICARE, state and local social services programs and similar or successor programs with or for the benefit of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Reserve Board</w:t>
      </w:r>
      <w:r>
        <w:rPr>
          <w:color w:val="000000"/>
        </w:rPr>
        <w:t xml:space="preserve">” </w:t>
      </w:r>
      <w:r>
        <w:rPr>
          <w:rFonts w:ascii="Times New Roman;serif" w:hAnsi="Times New Roman;serif"/>
          <w:b w:val="false"/>
          <w:color w:val="000000"/>
          <w:sz w:val="22"/>
        </w:rPr>
        <w:t>shall mean the Board of Governors of the Federal Reserve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Fee Letters</w:t>
      </w:r>
      <w:r>
        <w:rPr>
          <w:color w:val="000000"/>
        </w:rPr>
        <w:t xml:space="preserve">” </w:t>
      </w:r>
      <w:r>
        <w:rPr>
          <w:rFonts w:ascii="Times New Roman;serif" w:hAnsi="Times New Roman;serif"/>
          <w:b w:val="false"/>
          <w:color w:val="000000"/>
          <w:sz w:val="22"/>
        </w:rPr>
        <w:t xml:space="preserve">shall mean those certain fee letters, dated as the Closing Date, by and among the parties 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Fiscal Quarter</w:t>
      </w:r>
      <w:r>
        <w:rPr>
          <w:color w:val="000000"/>
        </w:rPr>
        <w:t xml:space="preserve">” </w:t>
      </w:r>
      <w:r>
        <w:rPr>
          <w:rFonts w:ascii="Times New Roman;serif" w:hAnsi="Times New Roman;serif"/>
          <w:b w:val="false"/>
          <w:color w:val="000000"/>
          <w:sz w:val="22"/>
        </w:rPr>
        <w:t>shall mean any fiscal quarter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shall mean any fiscal year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Fixed Amounts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1.9(b)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Fixed Charge Coverage Ratio</w:t>
      </w:r>
      <w:r>
        <w:rPr>
          <w:color w:val="000000"/>
        </w:rPr>
        <w:t xml:space="preserve">” </w:t>
      </w:r>
      <w:r>
        <w:rPr>
          <w:rFonts w:ascii="Times New Roman;serif" w:hAnsi="Times New Roman;serif"/>
          <w:b w:val="false"/>
          <w:color w:val="000000"/>
          <w:sz w:val="22"/>
        </w:rPr>
        <w:t xml:space="preserve">shall mean, as of any date, the ratio of (a) Consolidated EBITDA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Unfinanced Cash Capital Expenditures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all taxes on or measured by income that are paid in cash determined on a consolidated basis in accordance with GAAP to (b) Consolidated Fixed Charges, in each case measured for the most recently ended Test Period.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Fixed Incremental Amount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2.23(a)(i)(B)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Flood Insurance Laws</w:t>
      </w:r>
      <w:r>
        <w:rPr>
          <w:color w:val="000000"/>
        </w:rPr>
        <w:t xml:space="preserve">” </w:t>
      </w:r>
      <w:r>
        <w:rPr>
          <w:rFonts w:ascii="Times New Roman;serif" w:hAnsi="Times New Roman;serif"/>
          <w:b w:val="false"/>
          <w:color w:val="000000"/>
          <w:sz w:val="22"/>
        </w:rPr>
        <w:t xml:space="preserve">shall mean, collectively, (i) the National Flood Insurance Reform Act of 1994 (which comprehensively revised the National Flood Insurance Act of 1968 and the Flood Disaster Protection Act of 1973), as now or hereafter in effect or any successor statute thereto, (ii) the Flood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036955"/>
                <wp:effectExtent l="0" t="0" r="0" b="0"/>
                <wp:wrapNone/>
                <wp:docPr id="150" name="Frame14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Insurance Reform Act of 2004, as now or hereafter in effect or any successor statute thereto and (iii) the Biggert –Waters Flood Insurance Reform Act of 2012, as now or hereafter in effect or any successor statute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shall mean a rate of interest equal to zero percent (0.00%)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shall mean a Lender that is not a “United States person” within the meaning of Code Section 7701(a)(30).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shall mean each Subsidiary of the Borrower that is organized under the laws of a jurisdiction other than the United States, one of the fifty states of the United States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shall mean generally accepted accounting principles in the United States applied on a consistent basis and subject to the terms of </w:t>
      </w:r>
      <w:r>
        <w:rPr>
          <w:rFonts w:ascii="Times New Roman;serif" w:hAnsi="Times New Roman;serif"/>
          <w:b w:val="false"/>
          <w:color w:val="000000"/>
          <w:sz w:val="22"/>
          <w:u w:val="single"/>
        </w:rPr>
        <w:t>Section 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shall mean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it being understood and agreed that the foregoing definition shall include</w:t>
      </w:r>
      <w:r>
        <w:rPr>
          <w:color w:val="000000"/>
        </w:rPr>
        <w:t xml:space="preserve"> </w:t>
      </w:r>
      <w:r>
        <w:rPr>
          <w:rFonts w:ascii="Times New Roman;serif" w:hAnsi="Times New Roman;serif"/>
          <w:b w:val="false"/>
          <w:color w:val="000000"/>
          <w:sz w:val="22"/>
        </w:rPr>
        <w:t>any agency, branch or other governmental body charged with the responsibility and/or vested with the authority to administer and/or enforce any Healthcare Laws, including any Medicare or Medicaid contractors, intermediaries or carriers.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Authorization</w:t>
      </w:r>
      <w:r>
        <w:rPr>
          <w:color w:val="000000"/>
        </w:rPr>
        <w:t xml:space="preserve">” </w:t>
      </w:r>
      <w:r>
        <w:rPr>
          <w:rFonts w:ascii="Times New Roman;serif" w:hAnsi="Times New Roman;serif"/>
          <w:b w:val="false"/>
          <w:color w:val="000000"/>
          <w:sz w:val="22"/>
        </w:rPr>
        <w:t>shall mean any permit, license, authorization, certification, registration, approval, plan, directive, consent order or consent decree of or from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of or by any Person (the “</w:t>
      </w:r>
      <w:r>
        <w:rPr>
          <w:rFonts w:ascii="Times New Roman;serif" w:hAnsi="Times New Roman;serif"/>
          <w:b w:val="false"/>
          <w:color w:val="000000"/>
          <w:sz w:val="22"/>
          <w:u w:val="single"/>
        </w:rPr>
        <w:t>guaranto</w:t>
      </w:r>
      <w:r>
        <w:rPr>
          <w:rFonts w:ascii="Times New Roman;serif" w:hAnsi="Times New Roman;serif"/>
          <w:b w:val="false"/>
          <w:color w:val="000000"/>
          <w:sz w:val="22"/>
        </w:rPr>
        <w:t>r”) shall mean any obligation, contingent or otherwise, of the guarantor guaranteeing or having the economic effect of guaranteeing any Indebtedness or other obligation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other obligation;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“Guarantee” shall not include endorsements for collection or deposit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w:t>
      </w:r>
      <w:r>
        <w:rPr>
          <w:color w:val="000000"/>
        </w:rPr>
        <w:t xml:space="preserve">” </w:t>
      </w:r>
      <w:r>
        <w:rPr>
          <w:rFonts w:ascii="Times New Roman;serif" w:hAnsi="Times New Roman;serif"/>
          <w:b w:val="false"/>
          <w:color w:val="000000"/>
          <w:sz w:val="22"/>
        </w:rPr>
        <w:t>shall mean each of the Subsidiary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036955"/>
                <wp:effectExtent l="0" t="0" r="0" b="0"/>
                <wp:wrapNone/>
                <wp:docPr id="151" name="Frame14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Guaranty and Security Agreement</w:t>
      </w:r>
      <w:r>
        <w:rPr>
          <w:color w:val="000000"/>
        </w:rPr>
        <w:t xml:space="preserve">” </w:t>
      </w:r>
      <w:r>
        <w:rPr>
          <w:rFonts w:ascii="Times New Roman;serif" w:hAnsi="Times New Roman;serif"/>
          <w:b w:val="false"/>
          <w:color w:val="000000"/>
          <w:sz w:val="22"/>
        </w:rPr>
        <w:t>shall mean the Guaranty and Security Agreement, dated as of the Closing Date, made by the Loan Parties in favor of the Administrative Agent for the benefit of the Secured Parties, as amended, restated, reaffirmed,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Healthcare Laws</w:t>
      </w:r>
      <w:r>
        <w:rPr>
          <w:color w:val="000000"/>
        </w:rPr>
        <w:t xml:space="preserve">” </w:t>
      </w:r>
      <w:r>
        <w:rPr>
          <w:rFonts w:ascii="Times New Roman;serif" w:hAnsi="Times New Roman;serif"/>
          <w:b w:val="false"/>
          <w:color w:val="000000"/>
          <w:sz w:val="22"/>
        </w:rPr>
        <w:t>shall mean all applicable federal, state and foreign healthcare Requirements of Laws, including (a) all fraud and abuse Laws (including the following statutes, as amended, modified or supplemented from time to time and any successor statutes thereto and regulations promulgated from time to time thereunder: (i) the Federal Anti-Kickback Statute (42 U.S.C. § 1320a-7b), the Federal False Claims Act (31 U.S.C. §§ 3729, et seq.); (ii) the Federal Civil Monetary Penalties Law (42 U.S.C. § 1320a-7a); (iii) the Federal Program Fraud Civil Remedies Act (31 U.S.C. § 3801 et seq.); (iv) the Federal Health Care Fraud law (18 U.S.C. § 1347); (v) the criminal false claims and false statements statutes (e.g., 42 U.S.C. § 1320a-7b(a), 18 U.S.C. §§ 286, 287, 1347, 1349, and 1001); (vi) the Stark law (42 U.S.C. § 1395nn); (vii) the Physician Payment Sunshine Act (42 U.S.C. § 1320a-7h); (viii) the Federal Health Care Program Overpayment Statute (42 U.S.C. § 1320a-7k(d)); (ix) the Medicare Secondary Payor Statute (42 U.S.C. § 1395y(b)); (x) the Health Insurance Portability and Accountability Act of 1996 (42 U.S.C. § 1320d et seq.); (xi) the Health Information Technology for Economic and Clinical Health Act of 2009 (42 U.S.C. §§ 17921 et seq.); (xii) state laws regarding health information, medical records, and privacy, security, and breaches, the exclusion laws (42 U.S.C.§ 1320a-7) and (xiii) any similar foreign and state laws; (d) all applicable quality, safety and accreditation standards and requirements; (e) all Requirements of Law relating to the safety, efficacy, development, research, manufacture, ownership, testing, storage, transportation, distribution, supply, packaging, processing, use, distribution, marketing, labeling, promotion, holding, import or export, disposal or sale or offer for sale of any product, service, operation or activity of the Loan Parties, including the U.S. Federal Food, Drug and Cosmetic Act (21 U.S.C. § 301 et seq.), the Controlled Substances Act (21 U.S.C. § 801 et seq.) and the Public Health Service Act (42 U.S.C. § 201 et seq.); (f) all Requirements of Law relating to good manufacturing practices and good distribution practices; (g) the Medicare statute (Title XVIII of the Social Security Act); (h) the Medicaid Statute (Title XIX of the Social Security Act); (i) laws and regulations applicable to Federal Health Care Programs and government funded or sponsored healthcare programs; (j) licensure, quality, safety and accreditation requirements under applicable federal, state, local or foreign laws or regulations or healthcare-related Governmental Authority; (k) the Inflation Reduction Act and implementing regulations; and (l) all Requirements of Law relating to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Healthcare Permits</w:t>
      </w:r>
      <w:r>
        <w:rPr>
          <w:color w:val="000000"/>
        </w:rPr>
        <w:t xml:space="preserve">” </w:t>
      </w:r>
      <w:r>
        <w:rPr>
          <w:rFonts w:ascii="Times New Roman;serif" w:hAnsi="Times New Roman;serif"/>
          <w:b w:val="false"/>
          <w:color w:val="000000"/>
          <w:sz w:val="22"/>
        </w:rPr>
        <w:t>shall mean all material and applicable healthcare related licenses, permits, approvals, registrations, certifications, accreditations, contracts, consents, qualifications and authorizations necessary for the lawful conduct of each of the Borrower’s and its Subsidiaries’ respective businesses pursuant to all applicable Healthcare Laws.</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036955"/>
                <wp:effectExtent l="0" t="0" r="0" b="0"/>
                <wp:wrapNone/>
                <wp:docPr id="152" name="Frame15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Hedge Termination Value</w:t>
      </w:r>
      <w:r>
        <w:rPr>
          <w:color w:val="000000"/>
        </w:rPr>
        <w:t xml:space="preserve">” </w:t>
      </w:r>
      <w:r>
        <w:rPr>
          <w:rFonts w:ascii="Times New Roman;serif" w:hAnsi="Times New Roman;serif"/>
          <w:b w:val="false"/>
          <w:color w:val="000000"/>
          <w:sz w:val="22"/>
        </w:rPr>
        <w:t>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clause (a),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Hedging Obligations</w:t>
      </w:r>
      <w:r>
        <w:rPr>
          <w:color w:val="000000"/>
        </w:rPr>
        <w:t xml:space="preserve">” </w:t>
      </w:r>
      <w:r>
        <w:rPr>
          <w:rFonts w:ascii="Times New Roman;serif" w:hAnsi="Times New Roman;serif"/>
          <w:b w:val="false"/>
          <w:color w:val="000000"/>
          <w:sz w:val="22"/>
        </w:rPr>
        <w:t>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Hedging Transaction</w:t>
      </w:r>
      <w:r>
        <w:rPr>
          <w:color w:val="000000"/>
        </w:rPr>
        <w:t xml:space="preserve">” </w:t>
      </w:r>
      <w:r>
        <w:rPr>
          <w:rFonts w:ascii="Times New Roman;serif" w:hAnsi="Times New Roman;serif"/>
          <w:b w:val="false"/>
          <w:color w:val="000000"/>
          <w:sz w:val="22"/>
        </w:rPr>
        <w:t>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Historical Financial Statements</w:t>
      </w:r>
      <w:r>
        <w:rPr>
          <w:color w:val="000000"/>
        </w:rPr>
        <w:t xml:space="preserve">” </w:t>
      </w:r>
      <w:r>
        <w:rPr>
          <w:rFonts w:ascii="Times New Roman;serif" w:hAnsi="Times New Roman;serif"/>
          <w:b w:val="false"/>
          <w:color w:val="000000"/>
          <w:sz w:val="22"/>
        </w:rPr>
        <w:t>shall mean copies of (a) the internally prepared quarterly financial statements of the Borrower and its Subsidiaries on a consolidated basis for each of the Fiscal Quarters ended March 31, 2025, June 30, 2025 and September 30, 2025 and (b) the audited consolidated financial statements for the Borrower and its Subsidiaries for each of the Fiscal Years ended December 31, 2023 and December 31, 2024.</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 xml:space="preserve">” </w:t>
      </w:r>
      <w:r>
        <w:rPr>
          <w:rFonts w:ascii="Times New Roman;serif" w:hAnsi="Times New Roman;serif"/>
          <w:b w:val="false"/>
          <w:color w:val="000000"/>
          <w:sz w:val="22"/>
        </w:rPr>
        <w:t xml:space="preserve">shall mean, on any date of determination, any Subsidiary of the Borrower that, together with its Subsidiaries, (i) generated less than 5.0% of revenue of the Borrower and its Subsidiaries for the most recently ended Test Period and (ii) has total assets (including Capital Stock in other Subsidiaries and excluding investments that are eliminated in consolidation) of less than 5.0% of Consolidated Total Assets of the Borrower and its Subsidiaries as of the last day of the most recently ended Test Period. For the avoidance of doubt, as of the Closing Date, each of the Subsidiaries set forth on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 xml:space="preserve">shall be an Immaterial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of the foregoing shall at all times be subject to the thresholds in the foregoing definition and the thresholds and covenants set forth in </w:t>
      </w:r>
      <w:r>
        <w:rPr>
          <w:rFonts w:ascii="Times New Roman;serif" w:hAnsi="Times New Roman;serif"/>
          <w:b w:val="false"/>
          <w:color w:val="000000"/>
          <w:sz w:val="22"/>
          <w:u w:val="single"/>
        </w:rPr>
        <w:t>Section 5.12</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Increasing Lender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036955"/>
                <wp:effectExtent l="0" t="0" r="0" b="0"/>
                <wp:wrapNone/>
                <wp:docPr id="153" name="Frame15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Commitment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Commitment Joinder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Equivalent Debt</w:t>
      </w:r>
      <w:r>
        <w:rPr>
          <w:color w:val="000000"/>
        </w:rPr>
        <w:t xml:space="preserve">” </w:t>
      </w:r>
      <w:r>
        <w:rPr>
          <w:rFonts w:ascii="Times New Roman;serif" w:hAnsi="Times New Roman;serif"/>
          <w:b w:val="false"/>
          <w:color w:val="000000"/>
          <w:sz w:val="22"/>
        </w:rPr>
        <w:t xml:space="preserve">shall mean Indebtedness of a Loan Party in the form of secured or unsecured notes or loans issued or incurred in lieu of Incremental Commitments consisting of senior or subordinated notes or loans (which may be unsecured or secured by a Lien on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or junior lien basis to the Lien on the Collateral securing the Obligations); provided that (i) except as provided for in the following clause (viii) below, any Incremental Equivalent Debt shall be on terms and conditions substantially identical to, or (taken as a whole) not materially more favorable (as reasonably determined in good faith by the Borrower) to the lenders providing such Incremental Equivalent Debt than those applicable to the Term Facilities (except for covenants or other provisions applicable only to periods after the latest Maturity Date, closing date conditions, fees, interest rate and other economic terms) (in each case, provided 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 shall be conclusive evidence that such terms and conditions satisfy such requirement unless the Administrative Agent notifies the Borrower within such five (5) Business Day period that it disagrees with such determination (including a description of the basis upon which it disagrees)), (ii) the aggregate principal amount of all Incremental Equivalent Debt shall not exceed the Available Incremental Amount (including any conditions provided for in </w:t>
      </w:r>
      <w:r>
        <w:rPr>
          <w:rFonts w:ascii="Times New Roman;serif" w:hAnsi="Times New Roman;serif"/>
          <w:b w:val="false"/>
          <w:color w:val="000000"/>
          <w:sz w:val="22"/>
          <w:u w:val="single"/>
        </w:rPr>
        <w:t>Section 2.23(a)(i)(C)</w:t>
      </w:r>
      <w:r>
        <w:rPr>
          <w:color w:val="000000"/>
        </w:rPr>
        <w:t xml:space="preserve"> </w:t>
      </w:r>
      <w:r>
        <w:rPr>
          <w:rFonts w:ascii="Times New Roman;serif" w:hAnsi="Times New Roman;serif"/>
          <w:b w:val="false"/>
          <w:color w:val="000000"/>
          <w:sz w:val="22"/>
        </w:rPr>
        <w:t xml:space="preserve">as it relates to Incremental Equivalent Debt) at the time of incurrence, (iii) no Incremental Equivalent Debt shall be secured by any Lien on any asset of the Borrower or any Guarantor that does not also secure the then outstanding Obligations or guaranteed by any Person other than the Guarantors, (iv) if such Incremental Equivalent Debt is subordinated or secured, it shall be subject to customary subordination and/or intercreditor arrangements reasonably satisfactory to the Administrative Agent and the Borrower, (v) no potential lender that is an Affiliate of the Borrower may provide any Incremental Equivalent Debt, (vi) such Indebtedness does not mature (1) with respect to any Indebtedness that is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Collateral securing the Obligations, prior to the latest Maturity Date with respect to any other Term Facility and any Incremental Term Facility outstanding at the time such Indebtedness is incurred and (2) with respect to any Indebtedness that is secured on a junior basis with the Collateral securing the Obligations or with respect to any unsecured Indebtedness, prior to the date that is 91 days after the latest Maturity Date with respect to any other Term Facility or any Incremental Term Facility outstanding at the time such Indebtedness is incurred (provided that the restrictions in this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 xml:space="preserve">shall not apply to customary bridge facilities (so long as the long-term Indebtedness into which any customary bridge facility is to be converted satisfies such requirement)), (vii) the Weighted Average Life to Maturity of such Indebtedness is not shorter than the Weighted Average Life to Maturity of  any other Term Facility and any Incremental Term Facility outstanding at the time such Indebtedness is incurred (provided that the restrictions in this </w:t>
      </w:r>
      <w:r>
        <w:rPr>
          <w:rFonts w:ascii="Times New Roman;serif" w:hAnsi="Times New Roman;serif"/>
          <w:b w:val="false"/>
          <w:color w:val="000000"/>
          <w:sz w:val="22"/>
          <w:u w:val="single"/>
        </w:rPr>
        <w:t>clause (vii)</w:t>
      </w:r>
      <w:r>
        <w:rPr>
          <w:color w:val="000000"/>
        </w:rPr>
        <w:t xml:space="preserve"> </w:t>
      </w:r>
      <w:r>
        <w:rPr>
          <w:rFonts w:ascii="Times New Roman;serif" w:hAnsi="Times New Roman;serif"/>
          <w:b w:val="false"/>
          <w:color w:val="000000"/>
          <w:sz w:val="22"/>
        </w:rPr>
        <w:t xml:space="preserve">shall not apply to customary bridge facilities (so long as the long-term Indebtedness into which any customary bridge facility is to be converted satisfies such requirement)), and (viii) such Indebtedness does not have mandatory prepayment or redemption features other than (1) amortization permitted by the foregoing </w:t>
      </w:r>
      <w:r>
        <w:rPr>
          <w:rFonts w:ascii="Times New Roman;serif" w:hAnsi="Times New Roman;serif"/>
          <w:b w:val="false"/>
          <w:color w:val="000000"/>
          <w:sz w:val="22"/>
          <w:u w:val="single"/>
        </w:rPr>
        <w:t>clauses (vi)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 xml:space="preserve">(2) customary asset sale, insurance and condemnation proceeds events (provided that the holders of any Term Loans hereunder shall participate in any such mandatory prepayments and redemptions on at least a pro rata basis (but not on less than a pro rata basis) with the holders of such Incremental Equivalent Debt) and change of control offers and (3) customary AHYDO catch up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036955"/>
                <wp:effectExtent l="0" t="0" r="0" b="0"/>
                <wp:wrapNone/>
                <wp:docPr id="154" name="Frame15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Facility</w:t>
      </w:r>
      <w:r>
        <w:rPr>
          <w:color w:val="000000"/>
        </w:rPr>
        <w:t xml:space="preserve">” </w:t>
      </w:r>
      <w:r>
        <w:rPr>
          <w:rFonts w:ascii="Times New Roman;serif" w:hAnsi="Times New Roman;serif"/>
          <w:b w:val="false"/>
          <w:color w:val="000000"/>
          <w:sz w:val="22"/>
        </w:rPr>
        <w:t>shall mean an Incremental Revolving Facility or an Incremental Term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Revolving Commitment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Revolving Facility</w:t>
      </w:r>
      <w:r>
        <w:rPr>
          <w:color w:val="000000"/>
        </w:rPr>
        <w:t xml:space="preserve">” </w:t>
      </w:r>
      <w:r>
        <w:rPr>
          <w:rFonts w:ascii="Times New Roman;serif" w:hAnsi="Times New Roman;serif"/>
          <w:b w:val="false"/>
          <w:color w:val="000000"/>
          <w:sz w:val="22"/>
        </w:rPr>
        <w:t>shall mean any Incremental Revolving Commitment and the Revolving Loans funded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Term Facility</w:t>
      </w:r>
      <w:r>
        <w:rPr>
          <w:color w:val="000000"/>
        </w:rPr>
        <w:t xml:space="preserve">” </w:t>
      </w:r>
      <w:r>
        <w:rPr>
          <w:rFonts w:ascii="Times New Roman;serif" w:hAnsi="Times New Roman;serif"/>
          <w:b w:val="false"/>
          <w:color w:val="000000"/>
          <w:sz w:val="22"/>
        </w:rPr>
        <w:t>shall mean any Incremental Term Loan Commitment and the Incremental Term Loans funded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Term Loan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Term Loan Commitment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Incurrence-Based Amounts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1.9(b)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Incurrence-Based Incremental Amount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2.23(a)(i)(C)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(a) trade payables incurred in the ordinary course of business, (b) liabilities associated with customer prepayments and deposits, (c) purchase price holdbacks in respect of a portion of the purchase price of an asset to satisfy warranty or other unperformed obligations of the respective seller and (d) contingent obligations (other than in respect of Indebtedness) incurred in the ordinary course of business (excluding, for the avoidance of doubt, any contingent obligations included in </w:t>
      </w:r>
      <w:r>
        <w:rPr>
          <w:rFonts w:ascii="Times New Roman;serif" w:hAnsi="Times New Roman;serif"/>
          <w:b w:val="false"/>
          <w:color w:val="000000"/>
          <w:sz w:val="22"/>
          <w:u w:val="single"/>
        </w:rPr>
        <w:t>clause (xii)</w:t>
      </w:r>
      <w:r>
        <w:rPr>
          <w:color w:val="000000"/>
        </w:rPr>
        <w:t xml:space="preserve"> </w:t>
      </w:r>
      <w:r>
        <w:rPr>
          <w:rFonts w:ascii="Times New Roman;serif" w:hAnsi="Times New Roman;serif"/>
          <w:b w:val="false"/>
          <w:color w:val="000000"/>
          <w:sz w:val="22"/>
        </w:rPr>
        <w:t xml:space="preserve">below)),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 (vi) above, (viii) all Indebtedness of a third party secured by any Lien on property owned by such Person, whether or not such Indebtedness has been assumed by such Person, (ix) all obligations of such Person in respect of any Disqualified Capital Stock of such Person, (x) all Off-Balance Sheet Liabilities, (xi) all net Hedging Obligations and (xii) earn-outs, milestones and royalty obligations (that do not constitute Sales-Based Obligations). 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solely to the extent that (a) the terms of such Indebtedness or the terms of the operating agreement of such joint venture expressly provide that such Person is liable therefor, or (b) such Person is otherwise liable therefor. The amount of any net obligation under any Hedging Transaction on any date shall be deemed to be the Swap Termination Value thereof as of such date. The amount of Indebtedness of any Person for purposes of clause (viii) that is expressly made nonrecourse or limited-recourse (limited solely to the assets securing such Indebtedness) to such Person shall be deemed to be equal to the lesser of (a) the aggregate unpaid amount of such Indebtedness and (b) the fair market value of the property encumbered thereby as determined by such Person in good faith;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none of the following shall constitute Indebtedness of any Person: (x) obligations or liabilities of any Person for unissued equity shares, deferred revenue, deferred or subordinated management fees, deferred taxes or other similar accrued or deferred expenses (other than deferred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036955"/>
                <wp:effectExtent l="0" t="0" r="0" b="0"/>
                <wp:wrapNone/>
                <wp:docPr id="155" name="Frame15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purchase price payments of any kind as set forth above), in each case arising in the ordinary course of business, (y)</w:t>
      </w:r>
      <w:r>
        <w:rPr>
          <w:color w:val="000000"/>
        </w:rPr>
        <w:t xml:space="preserve"> </w:t>
      </w:r>
      <w:r>
        <w:rPr>
          <w:rFonts w:ascii="Times New Roman;serif" w:hAnsi="Times New Roman;serif"/>
          <w:b w:val="false"/>
          <w:color w:val="000000"/>
          <w:sz w:val="22"/>
        </w:rPr>
        <w:t>Sales-Based Obligations and (z) any Permitted Equity Derivative.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shall mean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Trigger Quarter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shall mean with respect to any SOFR Borrowing, a period of one (1), three (3) or six (6) months (in each case, subject to the availability thereof); provided that:</w:t>
      </w:r>
    </w:p>
    <w:p>
      <w:pPr>
        <w:pStyle w:val="TextBody"/>
        <w:bidi w:val="0"/>
        <w:spacing w:lineRule="auto" w:line="288" w:before="0" w:after="240"/>
        <w:ind w:left="0" w:right="0" w:firstLine="900"/>
        <w:jc w:val="both"/>
        <w:rPr/>
      </w:pPr>
      <w:bookmarkStart w:id="13" w:name="i865472c029d745ff9e8ec2a9b022c6f5"/>
      <w:bookmarkEnd w:id="13"/>
      <w:r>
        <w:rPr>
          <w:rFonts w:ascii="Times New Roman;serif" w:hAnsi="Times New Roman;serif"/>
          <w:b w:val="false"/>
          <w:color w:val="000000"/>
          <w:sz w:val="24"/>
        </w:rPr>
        <w:t>(ii)</w:t>
      </w:r>
      <w:r>
        <w:rPr>
          <w:rFonts w:ascii="Times New Roman;serif" w:hAnsi="Times New Roman;serif"/>
          <w:b w:val="false"/>
          <w:color w:val="000000"/>
          <w:sz w:val="22"/>
        </w:rPr>
        <w:t>(1)     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pStyle w:val="TextBody"/>
        <w:bidi w:val="0"/>
        <w:spacing w:lineRule="auto" w:line="288" w:before="0" w:after="240"/>
        <w:ind w:left="0" w:right="0" w:firstLine="900"/>
        <w:jc w:val="both"/>
        <w:rPr/>
      </w:pPr>
      <w:bookmarkStart w:id="14" w:name="ibf2e700d9cb94b3aaa7f9a4d9704c641"/>
      <w:bookmarkEnd w:id="14"/>
      <w:r>
        <w:rPr>
          <w:rFonts w:ascii="Times New Roman;serif" w:hAnsi="Times New Roman;serif"/>
          <w:b w:val="false"/>
          <w:color w:val="000000"/>
          <w:sz w:val="24"/>
        </w:rPr>
        <w:t>(iii)</w:t>
      </w:r>
      <w:r>
        <w:rPr>
          <w:rFonts w:ascii="Times New Roman;serif" w:hAnsi="Times New Roman;serif"/>
          <w:b w:val="false"/>
          <w:color w:val="000000"/>
          <w:sz w:val="22"/>
        </w:rPr>
        <w:t>(2)     if any Interest Period would otherwise end on a day other than a Business Day, such Interest Period shall be extended to the next succeeding Business Day, unless such Business Day falls in another calendar month, in which case such Interest Period would end on the immediately preceding Business Day;</w:t>
      </w:r>
    </w:p>
    <w:p>
      <w:pPr>
        <w:pStyle w:val="TextBody"/>
        <w:bidi w:val="0"/>
        <w:spacing w:lineRule="auto" w:line="288" w:before="0" w:after="240"/>
        <w:ind w:left="0" w:right="0" w:firstLine="900"/>
        <w:jc w:val="both"/>
        <w:rPr/>
      </w:pPr>
      <w:bookmarkStart w:id="15" w:name="i8749fa0ab9cd436a80fee59384ccf5c5"/>
      <w:bookmarkEnd w:id="15"/>
      <w:r>
        <w:rPr>
          <w:rFonts w:ascii="Times New Roman;serif" w:hAnsi="Times New Roman;serif"/>
          <w:b w:val="false"/>
          <w:color w:val="000000"/>
          <w:sz w:val="24"/>
        </w:rPr>
        <w:t>(iv)</w:t>
      </w:r>
      <w:r>
        <w:rPr>
          <w:rFonts w:ascii="Times New Roman;serif" w:hAnsi="Times New Roman;serif"/>
          <w:b w:val="false"/>
          <w:color w:val="000000"/>
          <w:sz w:val="22"/>
        </w:rPr>
        <w:t>(3)     any Interest Period which begins on the last Business Day of a calendar month or on a day for which there is no numerically corresponding day in the calendar month at the end of such Interest Period shall end on the last Business Day of such calendar month;</w:t>
      </w:r>
    </w:p>
    <w:p>
      <w:pPr>
        <w:pStyle w:val="TextBody"/>
        <w:bidi w:val="0"/>
        <w:spacing w:lineRule="auto" w:line="288" w:before="0" w:after="240"/>
        <w:ind w:left="0" w:right="0" w:firstLine="900"/>
        <w:jc w:val="both"/>
        <w:rPr/>
      </w:pPr>
      <w:bookmarkStart w:id="16" w:name="i4bf425b528224d9895d1e24f61d2632c"/>
      <w:bookmarkEnd w:id="16"/>
      <w:r>
        <w:rPr>
          <w:rFonts w:ascii="Times New Roman;serif" w:hAnsi="Times New Roman;serif"/>
          <w:b w:val="false"/>
          <w:color w:val="000000"/>
          <w:sz w:val="24"/>
        </w:rPr>
        <w:t>(v)</w:t>
      </w:r>
      <w:r>
        <w:rPr>
          <w:rFonts w:ascii="Times New Roman;serif" w:hAnsi="Times New Roman;serif"/>
          <w:b w:val="false"/>
          <w:color w:val="000000"/>
          <w:sz w:val="22"/>
        </w:rPr>
        <w:t xml:space="preserve">(4)     each principal installment of the Term Loans shall have an Interest Period ending on each installment payment date and the remaining principal balance (if any) of the Term Loans shall have an Interest Period determined as set forth above; </w:t>
      </w:r>
    </w:p>
    <w:p>
      <w:pPr>
        <w:pStyle w:val="TextBody"/>
        <w:bidi w:val="0"/>
        <w:spacing w:lineRule="auto" w:line="288" w:before="0" w:after="240"/>
        <w:ind w:left="0" w:right="0" w:firstLine="900"/>
        <w:jc w:val="both"/>
        <w:rPr/>
      </w:pPr>
      <w:bookmarkStart w:id="17" w:name="i670da6cf852544dba1f405b044f8f8c9"/>
      <w:bookmarkEnd w:id="17"/>
      <w:r>
        <w:rPr>
          <w:rFonts w:ascii="Times New Roman;serif" w:hAnsi="Times New Roman;serif"/>
          <w:b w:val="false"/>
          <w:color w:val="000000"/>
          <w:sz w:val="24"/>
        </w:rPr>
        <w:t>(vi)</w:t>
      </w:r>
      <w:r>
        <w:rPr>
          <w:rFonts w:ascii="Times New Roman;serif" w:hAnsi="Times New Roman;serif"/>
          <w:b w:val="false"/>
          <w:color w:val="000000"/>
          <w:sz w:val="22"/>
        </w:rPr>
        <w:t>(5)     no Interest Period for any Revolving Loans may extend beyond the Revolving Commitment Termination Date and no Interest Period for any Term Loans may extend beyond the Maturity Date; and</w:t>
      </w:r>
    </w:p>
    <w:p>
      <w:pPr>
        <w:pStyle w:val="TextBody"/>
        <w:bidi w:val="0"/>
        <w:spacing w:lineRule="auto" w:line="288" w:before="0" w:after="240"/>
        <w:ind w:left="0" w:right="0" w:firstLine="900"/>
        <w:jc w:val="both"/>
        <w:rPr/>
      </w:pPr>
      <w:bookmarkStart w:id="18" w:name="iebf8aac98c9a4920bd0dab1d7af16585"/>
      <w:bookmarkEnd w:id="18"/>
      <w:r>
        <w:rPr>
          <w:rFonts w:ascii="Times New Roman;serif" w:hAnsi="Times New Roman;serif"/>
          <w:b w:val="false"/>
          <w:color w:val="000000"/>
          <w:sz w:val="24"/>
        </w:rPr>
        <w:t>(vii)</w:t>
      </w:r>
      <w:r>
        <w:rPr>
          <w:rFonts w:ascii="Times New Roman;serif" w:hAnsi="Times New Roman;serif"/>
          <w:b w:val="false"/>
          <w:color w:val="000000"/>
          <w:sz w:val="22"/>
        </w:rPr>
        <w:t xml:space="preserve">(6)     no tenor that has been removed from this definition pursuant to </w:t>
      </w:r>
      <w:r>
        <w:rPr>
          <w:rFonts w:ascii="Times New Roman;serif" w:hAnsi="Times New Roman;serif"/>
          <w:b w:val="false"/>
          <w:color w:val="000000"/>
          <w:sz w:val="22"/>
          <w:u w:val="single"/>
        </w:rPr>
        <w:t>Section 2.16(e)</w:t>
      </w:r>
      <w:r>
        <w:rPr>
          <w:color w:val="000000"/>
        </w:rPr>
        <w:t xml:space="preserve"> </w:t>
      </w:r>
      <w:r>
        <w:rPr>
          <w:rFonts w:ascii="Times New Roman;serif" w:hAnsi="Times New Roman;serif"/>
          <w:b w:val="false"/>
          <w:color w:val="000000"/>
          <w:sz w:val="22"/>
        </w:rPr>
        <w:t>shall be available for specification in any Notice of Borrowing or Notice of Conversion/Continuation.</w:t>
      </w:r>
    </w:p>
    <w:p>
      <w:pPr>
        <w:pStyle w:val="TextBody"/>
        <w:bidi w:val="0"/>
        <w:spacing w:lineRule="auto" w:line="288" w:before="0" w:after="240"/>
        <w:ind w:left="0" w:right="0" w:firstLine="720"/>
        <w:jc w:val="both"/>
        <w:rPr/>
      </w:pPr>
      <w:bookmarkStart w:id="19" w:name="i0b54a9e6ceea4b9b8bd7a2760f46705e"/>
      <w:bookmarkEnd w:id="19"/>
      <w:r>
        <w:rPr>
          <w:rFonts w:ascii="Times New Roman;serif" w:hAnsi="Times New Roman;serif"/>
          <w:b w:val="false"/>
          <w:color w:val="000000"/>
          <w:sz w:val="24"/>
        </w:rPr>
        <w:t>(viii)</w:t>
      </w:r>
      <w:r>
        <w:rPr>
          <w:color w:val="000000"/>
        </w:rPr>
        <w:t>“</w:t>
      </w:r>
      <w:r>
        <w:rPr>
          <w:rFonts w:ascii="Times New Roman;serif" w:hAnsi="Times New Roman;serif"/>
          <w:b w:val="false"/>
          <w:color w:val="000000"/>
          <w:sz w:val="22"/>
          <w:u w:val="single"/>
        </w:rPr>
        <w:t>Investment Consideration</w:t>
      </w:r>
      <w:r>
        <w:rPr>
          <w:color w:val="000000"/>
        </w:rPr>
        <w:t xml:space="preserve">” </w:t>
      </w:r>
      <w:r>
        <w:rPr>
          <w:rFonts w:ascii="Times New Roman;serif" w:hAnsi="Times New Roman;serif"/>
          <w:b w:val="false"/>
          <w:color w:val="000000"/>
          <w:sz w:val="22"/>
        </w:rPr>
        <w:t xml:space="preserve">shall mean, collectively, (A) the aggregate purchase consideration for an Acquisition and all other payments (but excluding any related acquisition fees, costs and expenses incurred in connection with any Acquisition), directly or indirectly, by any Person in exchange for, or as part of, or in connection with, an Acquisition, whether paid in cash or cash equivalents or by exchange of equity interests or of any property or by the assumption of Indebtedness of the target, business unit or asset group acquired or proposed to be acquired in any such Acquisition or otherwise and whether payable prior to, as of the consummation of, or after any such Acquisition, including any earn-outs and deferred payment obligations (whether contingent or otherwise;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deferred contingent liability shall be included as an estimated amount measured by the Borrower in good faith) and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036955"/>
                <wp:effectExtent l="0" t="0" r="0" b="0"/>
                <wp:wrapNone/>
                <wp:docPr id="156" name="Frame15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 the aggregate amount of all loans made by the Borrower to any Subsidiary to fund Permitted Acquisitions or other Investments;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Investment Consideration shall not include (a) any consideration or payment paid by the Borrower or any of its Subsidiaries (i) with the Net Cash Proceeds from any substantially concurrent issuance of Capital Stock of the Borrower to its shareholders and/or (ii) in the form of Capital Stock of the Borrower and (b) cash and cash equivalents acquired by the Borrower or any of its Subsidiaries as part of the applicable Investment.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Investment Policy</w:t>
      </w:r>
      <w:r>
        <w:rPr>
          <w:color w:val="000000"/>
        </w:rPr>
        <w:t xml:space="preserve">” </w:t>
      </w:r>
      <w:r>
        <w:rPr>
          <w:rFonts w:ascii="Times New Roman;serif" w:hAnsi="Times New Roman;serif"/>
          <w:b w:val="false"/>
          <w:color w:val="000000"/>
          <w:sz w:val="22"/>
        </w:rPr>
        <w:t>means that certain Investment Policy of the Borrower as disclosed to the Administrative Agent prior to the Closing Date or any amendments, supplements or replacements of such policy disclosed to and accepted by the Administrative Agent in its reasonable discretion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Investments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Ironshore Royalty Obligations</w:t>
      </w:r>
      <w:r>
        <w:rPr>
          <w:color w:val="000000"/>
        </w:rPr>
        <w:t xml:space="preserve">” </w:t>
      </w:r>
      <w:r>
        <w:rPr>
          <w:rFonts w:ascii="Times New Roman;serif" w:hAnsi="Times New Roman;serif"/>
          <w:b w:val="false"/>
          <w:color w:val="000000"/>
          <w:sz w:val="22"/>
        </w:rPr>
        <w:t xml:space="preserve">shall mean the Borrower’s deferred unsecured royalty obligation assumed by the Borrower in connection with the acquisition of Ironshore Therapeutics Inc. in September 2024 (as in effect on the Closing Date), relating to royalty payments on net sales of Jornay PM paid to debtholders in exchange for funding provided to Ironshore Therapeutics Inc. by such debtholders.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shall mean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Issuing Banks</w:t>
      </w:r>
      <w:r>
        <w:rPr>
          <w:color w:val="000000"/>
        </w:rPr>
        <w:t xml:space="preserve">” </w:t>
      </w:r>
      <w:r>
        <w:rPr>
          <w:rFonts w:ascii="Times New Roman;serif" w:hAnsi="Times New Roman;serif"/>
          <w:b w:val="false"/>
          <w:color w:val="000000"/>
          <w:sz w:val="22"/>
        </w:rPr>
        <w:t xml:space="preserve">shall mean Truist Bank in its capacity as the issuer of Letters of Credit pursuant to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together with any other Revolving Lender as the Borrower may from time to time select as an Issuing Bank hereunder 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Revolving Lender has agreed to be an Issuing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Knowledge</w:t>
      </w:r>
      <w:r>
        <w:rPr>
          <w:color w:val="000000"/>
        </w:rPr>
        <w:t xml:space="preserve">” </w:t>
      </w:r>
      <w:r>
        <w:rPr>
          <w:rFonts w:ascii="Times New Roman;serif" w:hAnsi="Times New Roman;serif"/>
          <w:b w:val="false"/>
          <w:color w:val="000000"/>
          <w:sz w:val="22"/>
        </w:rPr>
        <w:t>of Borrower shall mean the actual knowledge of any of the Borrower’s Responsible Officers.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LCA Election</w:t>
      </w:r>
      <w:r>
        <w:rPr>
          <w:color w:val="000000"/>
        </w:rPr>
        <w:t xml:space="preserve">” </w:t>
      </w:r>
      <w:r>
        <w:rPr>
          <w:rFonts w:ascii="Times New Roman;serif" w:hAnsi="Times New Roman;serif"/>
          <w:b w:val="false"/>
          <w:color w:val="000000"/>
          <w:sz w:val="22"/>
        </w:rPr>
        <w:t xml:space="preserve">shall mean the Borrower’s election to treat a specified Acquisition as a Limited Condition Acquisition in accordance with </w:t>
      </w:r>
      <w:r>
        <w:rPr>
          <w:rFonts w:ascii="Times New Roman;serif" w:hAnsi="Times New Roman;serif"/>
          <w:b w:val="false"/>
          <w:color w:val="000000"/>
          <w:sz w:val="22"/>
          <w:u w:val="single"/>
        </w:rPr>
        <w:t>Section 1.7</w:t>
      </w:r>
      <w:r>
        <w:rPr>
          <w:rFonts w:ascii="Times New Roman;serif" w:hAnsi="Times New Roman;serif"/>
          <w:b w:val="false"/>
          <w:color w:val="000000"/>
          <w:sz w:val="22"/>
        </w:rPr>
        <w:t xml:space="preserve">, effective upon delivery by the Borrower of the LCA Election Certificate required by </w:t>
      </w:r>
      <w:r>
        <w:rPr>
          <w:rFonts w:ascii="Times New Roman;serif" w:hAnsi="Times New Roman;serif"/>
          <w:b w:val="false"/>
          <w:color w:val="000000"/>
          <w:sz w:val="22"/>
          <w:u w:val="single"/>
        </w:rPr>
        <w:t>Section 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LCA Election Certificate</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LCA Test Date</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Commitment</w:t>
      </w:r>
      <w:r>
        <w:rPr>
          <w:color w:val="000000"/>
        </w:rPr>
        <w:t xml:space="preserve">” </w:t>
      </w:r>
      <w:r>
        <w:rPr>
          <w:rFonts w:ascii="Times New Roman;serif" w:hAnsi="Times New Roman;serif"/>
          <w:b w:val="false"/>
          <w:color w:val="000000"/>
          <w:sz w:val="22"/>
        </w:rPr>
        <w:t>shall mean that portion of the Aggregate Revolving Commitments that may be used by the Borrower for the issuance of Letters of Credit in an aggregate face amount not to exceed $20,000,000.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Disbursement</w:t>
      </w:r>
      <w:r>
        <w:rPr>
          <w:color w:val="000000"/>
        </w:rPr>
        <w:t xml:space="preserve">” </w:t>
      </w:r>
      <w:r>
        <w:rPr>
          <w:rFonts w:ascii="Times New Roman;serif" w:hAnsi="Times New Roman;serif"/>
          <w:b w:val="false"/>
          <w:color w:val="000000"/>
          <w:sz w:val="22"/>
        </w:rPr>
        <w:t>shall mean a payment made by any Issuing Bank pursuant to a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Documents</w:t>
      </w:r>
      <w:r>
        <w:rPr>
          <w:color w:val="000000"/>
        </w:rPr>
        <w:t xml:space="preserve">” </w:t>
      </w:r>
      <w:r>
        <w:rPr>
          <w:rFonts w:ascii="Times New Roman;serif" w:hAnsi="Times New Roman;serif"/>
          <w:b w:val="false"/>
          <w:color w:val="000000"/>
          <w:sz w:val="22"/>
        </w:rPr>
        <w:t>shall mean all applications, agreements and instruments relating to the Letters of Credit but excluding the Letters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Exposure</w:t>
      </w:r>
      <w:r>
        <w:rPr>
          <w:color w:val="000000"/>
        </w:rPr>
        <w:t xml:space="preserve">” </w:t>
      </w:r>
      <w:r>
        <w:rPr>
          <w:rFonts w:ascii="Times New Roman;serif" w:hAnsi="Times New Roman;serif"/>
          <w:b w:val="false"/>
          <w:color w:val="000000"/>
          <w:sz w:val="22"/>
        </w:rPr>
        <w:t xml:space="preserve">shall mean, at any time, the sum of (i) the aggregate undrawn amount of all outstanding Letters of Credit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aggregate amount of all LC Disbursements that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036955"/>
                <wp:effectExtent l="0" t="0" r="0" b="0"/>
                <wp:wrapNone/>
                <wp:docPr id="157" name="Frame15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have not been reimbursed by or on behalf of the Borrower at such time. The LC Exposure of any Revolving Lender shall be its Pro Rata Share (based on such Revolving Lender’s Revolving Commitment or Revolving Credit Exposure, as applicable) of the total LC Exposure at such time. Unless otherwise specified herein, the amount of a Letter of Credit at any time shall be deemed to be the stated amount of such Letter of Credit in effect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any Letter of Credit that, by its terms or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Lender-Related Hedge Provider</w:t>
      </w:r>
      <w:r>
        <w:rPr>
          <w:color w:val="000000"/>
        </w:rPr>
        <w:t xml:space="preserve">” </w:t>
      </w:r>
      <w:r>
        <w:rPr>
          <w:rFonts w:ascii="Times New Roman;serif" w:hAnsi="Times New Roman;serif"/>
          <w:b w:val="false"/>
          <w:color w:val="000000"/>
          <w:sz w:val="22"/>
        </w:rPr>
        <w:t xml:space="preserve">shall mean any Person that, at the time it enters into a Hedging Transaction with any Loan Party, (i) is a Lender or an Affiliate of a Lender and (ii) except when the Lender-Related Hedge Provider is Truist Bank or any of its Affiliates, has provided prior written notice to the Administrative Agent which has been acknowledged by the Borrower of (x) the existence of such Hedging Transaction and (y) the methodology to be used by such parties in determining the obligations under such Hedging Transaction from time to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the term “Lender-Related Hedge Provider” shall include any Person that is the Administrative Agent, an Affiliate of the Administrative Agent, a Lender or an Affiliate of a Lender as of the Closing Date or as of the date that such Person enters into a Hedging Transaction with any Loan Party, but subsequently ceases to be the Administrative Agent, an Affiliate of the Administrative Agent, a Lender or an Affiliate of a Lender, as the case may be. In no event shall any Lender-Related Hedge Provider acting in such capacity be deemed a Lender for purposes hereof to the extent of and as to Hedging Obligations except that each reference to the term “Lender” in </w:t>
      </w:r>
      <w:r>
        <w:rPr>
          <w:rFonts w:ascii="Times New Roman;serif" w:hAnsi="Times New Roman;serif"/>
          <w:b w:val="false"/>
          <w:color w:val="000000"/>
          <w:sz w:val="22"/>
          <w:u w:val="single"/>
        </w:rPr>
        <w:t xml:space="preserve">Article IX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10.3(b)</w:t>
      </w:r>
      <w:r>
        <w:rPr>
          <w:color w:val="000000"/>
        </w:rPr>
        <w:t xml:space="preserve"> </w:t>
      </w:r>
      <w:r>
        <w:rPr>
          <w:rFonts w:ascii="Times New Roman;serif" w:hAnsi="Times New Roman;serif"/>
          <w:b w:val="false"/>
          <w:color w:val="000000"/>
          <w:sz w:val="22"/>
        </w:rPr>
        <w:t>shall be deemed to include such Lender-Related Hedge Provider. In no event shall the approval of any such Person in its capacity as Lender-Related Hedge Provider be required in connection with the release or termination of any security interest or Lien of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 xml:space="preserve">shall mean the Term Lenders and the Revolving Lenders and, where appropriate, the Swingline Lender, each Increasing Lender and each Additional Lender that joins this Agreement pursuant to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 xml:space="preserve">shall mean any stand-by letter of credit issued pursuant to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by any Issuing Bank for the account of the Borrower or any Subsidiary Loan Party (which may be for the benefit of any Subsidiary) pursuant to the LC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for security of any kind or nature whatsoever (including any conditional sale or other title retention agreement and any capital lease having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Limited Condition Acquisition</w:t>
      </w:r>
      <w:r>
        <w:rPr>
          <w:color w:val="000000"/>
        </w:rPr>
        <w:t xml:space="preserve">” </w:t>
      </w:r>
      <w:r>
        <w:rPr>
          <w:rFonts w:ascii="Times New Roman;serif" w:hAnsi="Times New Roman;serif"/>
          <w:b w:val="false"/>
          <w:color w:val="000000"/>
          <w:sz w:val="22"/>
        </w:rPr>
        <w:t>shall mean (a) any Acquisition whose consummation is not conditioned on the availability of, or on obtaining, third party financing and (b) if applicable in connection therewith, the designation of any Subsidiary (or any to be acquired Subsidiary) as an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Limited Condition Acquisition Agreement</w:t>
      </w:r>
      <w:r>
        <w:rPr>
          <w:color w:val="000000"/>
        </w:rPr>
        <w:t xml:space="preserve">” </w:t>
      </w:r>
      <w:r>
        <w:rPr>
          <w:rFonts w:ascii="Times New Roman;serif" w:hAnsi="Times New Roman;serif"/>
          <w:b w:val="false"/>
          <w:color w:val="000000"/>
          <w:sz w:val="22"/>
        </w:rPr>
        <w:t>shall have the meaning set forth in</w:t>
      </w:r>
      <w:r>
        <w:rPr>
          <w:color w:val="000000"/>
          <w:u w:val="single"/>
        </w:rPr>
        <w:t xml:space="preserve"> </w:t>
      </w:r>
      <w:r>
        <w:rPr>
          <w:rFonts w:ascii="Times New Roman;serif" w:hAnsi="Times New Roman;serif"/>
          <w:b w:val="false"/>
          <w:color w:val="000000"/>
          <w:sz w:val="22"/>
          <w:u w:val="single"/>
        </w:rPr>
        <w:t>Section 1.7</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036955"/>
                <wp:effectExtent l="0" t="0" r="0" b="0"/>
                <wp:wrapNone/>
                <wp:docPr id="158" name="Frame15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Liquidity</w:t>
      </w:r>
      <w:r>
        <w:rPr>
          <w:color w:val="000000"/>
        </w:rPr>
        <w:t xml:space="preserve">” </w:t>
      </w:r>
      <w:r>
        <w:rPr>
          <w:rFonts w:ascii="Times New Roman;serif" w:hAnsi="Times New Roman;serif"/>
          <w:b w:val="false"/>
          <w:color w:val="000000"/>
          <w:sz w:val="22"/>
        </w:rPr>
        <w:t>shall mean, as of any date of determination, the sum of (a) the amount of Qualified Cash as of such date plus (b) the amount by which the Aggregate Revolving Commitment amount exceeds the aggregate Revolving Credit Exposure of all Revolving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shall mean, collectively, this Agreement, the Collateral Documents, the LC Documents, the Fee Letters, all Notices of Revolving Borrowing, all Notices of Delayed Draw Term Loan Borrowing, all Notices of Swingline Borrowing, all Notices of Conversion/Continuation, all Compliance Certificates, any promissory notes issued hereunder and any intercreditor and/or subordination agreements executed in connection with this Agreement and each other instrument, agreement, document and writing executed in connection with any of the foregoing that is identified by its terms as a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shall mean the Borrower and the Subsidiary Loan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 xml:space="preserve">shall mean all Revolving Loans, Swingline Loans and Term Loans in the aggregate or any of them, as the context shall require, and shall include, where appropriate, any loan made pursuant to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shall mean, a material adverse change in, or a material adverse effect on, (i) the business, results of operations, financial condition, assets or liabilities of the Borrower and its Subsidiaries (taken as a whole), (ii) the ability of the Loan Parties (taken as a whole) to timely perform their respective obligations under the Loan Documents, (iii) the rights and remedies of the Administrative Agent, the Issuing Banks, the Swingline Lender and the Lenders under the Loan Documents or (iv) the legality, validity or enforceability of the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shall mean (a) the 2029 Convertible Notes and (b) any Indebtedness (other than the Commitments, the Loans and the Letters of Credit) of the Borrower or any of its Subsidiaries individually or in an aggregate committed or outstanding principal amount exceeding the Threshold Amount. For purposes of determining the amount of attributed Indebtedness from Hedging Obligations, the “principal amount” of any Hedging Obligations at any time shall be the Net Mark-to-Market Exposure of such Hedging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Real Estate</w:t>
      </w:r>
      <w:r>
        <w:rPr>
          <w:color w:val="000000"/>
        </w:rPr>
        <w:t xml:space="preserve">” </w:t>
      </w:r>
      <w:r>
        <w:rPr>
          <w:rFonts w:ascii="Times New Roman;serif" w:hAnsi="Times New Roman;serif"/>
          <w:b w:val="false"/>
          <w:color w:val="000000"/>
          <w:sz w:val="22"/>
        </w:rPr>
        <w:t xml:space="preserve">shall mean any real property owned in fee simple by a Loan Party with a fair market value of at least $25,000,000.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shall mean, (a) with respect to the Term A Loans (including, for the avoidance of doubt, any Delayed Draw Term Loans), the earliest of (i) December 23, 2030, (ii) the Springing Maturity Date if the Springing Maturity Date Trigger has occurred and (iii) the date on which the principal amount of all outstanding Term A Loans (including, for the avoidance of doubt, all outstanding Delayed Draw Term Loans) have been declared or automatically have become due and payable (whether by acceleration or otherwise) and (b) with respect to any Incremental Term Loans, Extended Term Loans or Other Refinancing Term Loans, (i) the date specified therefor in the Incremental Commitment Joinder, Extended Facility Agreement or Refinancing Amendment applicable thereto and (ii) the date on which the principal amount of all such outstanding Incremental Term Loans, Extended Term Loans or Other Refinancing Term Loans have been declared or automatically have become due and payable (whether by acceleration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MFN Protection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2.23(a)(vii)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shall mean Moody’s Investors Service, Inc.</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036955"/>
                <wp:effectExtent l="0" t="0" r="0" b="0"/>
                <wp:wrapNone/>
                <wp:docPr id="159" name="Frame15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Mortgaged Property</w:t>
      </w:r>
      <w:r>
        <w:rPr>
          <w:color w:val="000000"/>
        </w:rPr>
        <w:t xml:space="preserve">” </w:t>
      </w:r>
      <w:r>
        <w:rPr>
          <w:rFonts w:ascii="Times New Roman;serif" w:hAnsi="Times New Roman;serif"/>
          <w:b w:val="false"/>
          <w:color w:val="000000"/>
          <w:sz w:val="22"/>
        </w:rPr>
        <w:t xml:space="preserve">shall mean, collectively, the Material Real Estate subject to the Mortgages, including, but not limited to, any Material Real Estate for which a Mortgage is required to be delivered after the Closing Date pursuant to </w:t>
      </w:r>
      <w:r>
        <w:rPr>
          <w:rFonts w:ascii="Times New Roman;serif" w:hAnsi="Times New Roman;serif"/>
          <w:b w:val="false"/>
          <w:color w:val="000000"/>
          <w:sz w:val="22"/>
          <w:u w:val="single"/>
        </w:rPr>
        <w:t>Section 5.13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Mortgages</w:t>
      </w:r>
      <w:r>
        <w:rPr>
          <w:color w:val="000000"/>
        </w:rPr>
        <w:t xml:space="preserve">” </w:t>
      </w:r>
      <w:r>
        <w:rPr>
          <w:rFonts w:ascii="Times New Roman;serif" w:hAnsi="Times New Roman;serif"/>
          <w:b w:val="false"/>
          <w:color w:val="000000"/>
          <w:sz w:val="22"/>
        </w:rPr>
        <w:t>shall mean, collectively, each mortgage, deed of trust, trust deed, security deed, debenture, deed of immovable hypothec, deed to secure debt or other real estate security documents delivered by any Loan Party to the Administrative Agent from time to time, all in form and substance satisfactory to the Administrative Agent, as the same may be amended, amended and restated, extended, supplemented, substituted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shall mean any “multiemployer plan” as defined in Section 4001(a)(3) of ERISA, which is contributed to by (or to which there is or may be an obligation to contribute of) the Borrower, any of its Subsidiaries or an ERISA Affiliate, and each such plan for the five-year period immediately following the latest date on which the Borrower, any of its Subsidiaries or an ERISA Affiliate contributed to or had an obligation to contribute to such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 xml:space="preserve">shall mean proceeds received in cash and/or cash equivalents from (a) any disposition of, or casualty event with respect to, property (including casualty insurance (excluding business interruption insurance) and condemnation proceeds), net of the sum of (i) the principal amount of any Indebtedness that is secured by a Lien (other than a Lien that ranks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or is subordinated to the Liens securing the Obligations) on the asset subject to such disposition or casualty event and that is repaid by the Borrower or any of its Subsidiaries in connection with such disposition or casualty event (other than Indebtedness under the Loan Documents), together with any applicable premium, penalty, interest and breakage costs, (ii) the out-of-pocket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Borrower or such Subsidiary in connection with such disposition or casualty event, (iii) Taxes (or distributions for Taxes or any amount payable pursuant to any permitted Tax sharing arrangement) paid or reasonably estimated to be payable in connection therewith by any Loan Party or such Subsidiary and attributable to such disposition or casualty event (including, where the proceeds are realized by a Subsidiary of the Borrower, any incremental foreign, federal, state and/or local Taxes imposed as a result of distributing the proceeds in question from any Subsidiary to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estimated amounts exceed the amount of actual Taxes required to be paid (or actual distributions required to be made in connection with permitted Tax sharing arrangements) in connection therewith, the amount of such excess shall constitute Net Cash Proceeds and (iv) any reserve for adjustment in respect of (A) the sale price of such asset or assets and (B) any liabilities associated with such asset or assets and retained by the Borrower or any of its Subsidiaries after such disposition thereof, including pension and other post-employment benefit liabilities and liabilities related to environmental matters or against any indemnification obligations associated with such transaction, or (b) the incurrence or issuance of Indebtedness or Capital Stock, net of the amount of any investment banking fees, underwriting discounts, commissions, costs and other out-of-pocket expenses (including attorneys’ fees) and other customary fees and expenses, incurred by any Loan Party or a Subsidiary in connection with the incurrence or issuance of such Indebtedness or Capital Stock, as applicable (including, where the proceeds are realized by a Subsidiary of the Borrower, any incremental foreign, federal, state and/or local Taxes imposed as a result of distributing the proceeds in question from any Subsidiary to the Borrower), in each case directly attributable to such transaction and actually paid in connection therewith;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proceeds received by any Subsidiary of the Borrower that is not a Wholly-Owned Subsidiary of the Loan Parties shall constitute “Net Cash Proceeds”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036955"/>
                <wp:effectExtent l="0" t="0" r="0" b="0"/>
                <wp:wrapNone/>
                <wp:docPr id="160" name="Frame15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only to the extent of the aggregate direct and indirect beneficial ownership interest of the Borrower therein.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Mark-to-Market Exposure</w:t>
      </w:r>
      <w:r>
        <w:rPr>
          <w:color w:val="000000"/>
        </w:rPr>
        <w:t xml:space="preserve">” </w:t>
      </w:r>
      <w:r>
        <w:rPr>
          <w:rFonts w:ascii="Times New Roman;serif" w:hAnsi="Times New Roman;serif"/>
          <w:b w:val="false"/>
          <w:color w:val="000000"/>
          <w:sz w:val="22"/>
        </w:rPr>
        <w:t>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shall mean, at any time, a Lender that is not a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Non-Loan Party Indebtedness of Secured Loan Parties</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7.1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Non-U.S. Plan</w:t>
      </w:r>
      <w:r>
        <w:rPr>
          <w:color w:val="000000"/>
        </w:rPr>
        <w:t xml:space="preserve">” </w:t>
      </w:r>
      <w:r>
        <w:rPr>
          <w:rFonts w:ascii="Times New Roman;serif" w:hAnsi="Times New Roman;serif"/>
          <w:b w:val="false"/>
          <w:color w:val="000000"/>
          <w:sz w:val="22"/>
        </w:rPr>
        <w:t>shall mean any plan, fund (including any superannuation fund) or other similar program established, contributed to (regardless of whether through direct contributions or through employee withholding) or maintained outside the United States by the Borrower or one or more of its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Borrowing</w:t>
      </w:r>
      <w:r>
        <w:rPr>
          <w:color w:val="000000"/>
        </w:rPr>
        <w:t xml:space="preserve">” </w:t>
      </w:r>
      <w:r>
        <w:rPr>
          <w:rFonts w:ascii="Times New Roman;serif" w:hAnsi="Times New Roman;serif"/>
          <w:b w:val="false"/>
          <w:color w:val="000000"/>
          <w:sz w:val="22"/>
        </w:rPr>
        <w:t>shall mean a Notice of Revolving Borrowing, a Notice of Term Loan Borrowing, a Notice of Swingline Borrowing, or the initial notice of borrowing to be delivered on or prior to the Closing Date in connection with all Revolving Loans to be funded on the Closing Date,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Conversion/Continuation</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2.7(b)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Revolving Borrowing</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Swingline Borrowing</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Term Loan Borrowing</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2.5(c)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shall mean (a) all amounts owing by the Loan Parties to the Administrative Agent, the Issuing Banks, any Lender (including the Swingline Lender) or the Arrangers pursuant to or in connection with this Agreement or any other Loan Document or otherwise with respect to any Commitment, Loan or Letter of Credit including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obligations pursuant to the Administrative Agent’s Erroneous Payment Subrogation Rights, fees, expenses, indemnification and reimbursement payments, costs and expenses (including all fees and expenses of counsel to the Administrative Agent, the Issuing Banks and the Lenders (including the Swingline Lender) subject to indemnification or reimbursement pursuant to this Agreement or any other Loan Document), whether direct or indirect, absolute or contingent, liquidated or unliquidated, now existing or hereafter arising hereunder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036955"/>
                <wp:effectExtent l="0" t="0" r="0" b="0"/>
                <wp:wrapNone/>
                <wp:docPr id="161" name="Frame15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thereunder, (b) all Hedging Obligations owed by any Loan Party to any Lender-Related Hedge Provider, and (c) all Bank Product Obligations, together with all renewals, extensions, modifications or refinancings of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Guarantor, the Obligations shall not include any Excluded Swap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shall mean the U.S. Department of the Treasury’s Office of Foreign Assets Control.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Off-Balance Sheet Liabilities</w:t>
      </w:r>
      <w:r>
        <w:rPr>
          <w:color w:val="000000"/>
        </w:rPr>
        <w:t xml:space="preserve">” </w:t>
      </w:r>
      <w:r>
        <w:rPr>
          <w:rFonts w:ascii="Times New Roman;serif" w:hAnsi="Times New Roman;serif"/>
          <w:b w:val="false"/>
          <w:color w:val="000000"/>
          <w:sz w:val="22"/>
        </w:rPr>
        <w:t xml:space="preserve">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 other than, in the case of this </w:t>
      </w:r>
      <w:r>
        <w:rPr>
          <w:rFonts w:ascii="Times New Roman;serif" w:hAnsi="Times New Roman;serif"/>
          <w:b w:val="false"/>
          <w:color w:val="000000"/>
          <w:sz w:val="22"/>
          <w:u w:val="single"/>
        </w:rPr>
        <w:t>clause (iv)</w:t>
      </w:r>
      <w:r>
        <w:rPr>
          <w:rFonts w:ascii="Times New Roman;serif" w:hAnsi="Times New Roman;serif"/>
          <w:b w:val="false"/>
          <w:color w:val="000000"/>
          <w:sz w:val="22"/>
        </w:rPr>
        <w:t>, any operating lease, including, for the avoidance of doubt, any other lease referred to in the proviso of the definition of “Capital Lease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OSHA</w:t>
      </w:r>
      <w:r>
        <w:rPr>
          <w:color w:val="000000"/>
        </w:rPr>
        <w:t xml:space="preserve">” </w:t>
      </w:r>
      <w:r>
        <w:rPr>
          <w:rFonts w:ascii="Times New Roman;serif" w:hAnsi="Times New Roman;serif"/>
          <w:b w:val="false"/>
          <w:color w:val="000000"/>
          <w:sz w:val="22"/>
        </w:rPr>
        <w:t>shall mean the Occupational Safety and Health Act of 1970, as amended and in effect from time to time, and any successor statute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Refinancing Commitments</w:t>
      </w:r>
      <w:r>
        <w:rPr>
          <w:color w:val="000000"/>
        </w:rPr>
        <w:t xml:space="preserve">” </w:t>
      </w:r>
      <w:r>
        <w:rPr>
          <w:rFonts w:ascii="Times New Roman;serif" w:hAnsi="Times New Roman;serif"/>
          <w:b w:val="false"/>
          <w:color w:val="000000"/>
          <w:sz w:val="22"/>
        </w:rPr>
        <w:t>shall mean the Other Refinancing Revolving Commitments and the Other Refinancing Term Loan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Refinancing Loans</w:t>
      </w:r>
      <w:r>
        <w:rPr>
          <w:color w:val="000000"/>
        </w:rPr>
        <w:t xml:space="preserve">” </w:t>
      </w:r>
      <w:r>
        <w:rPr>
          <w:rFonts w:ascii="Times New Roman;serif" w:hAnsi="Times New Roman;serif"/>
          <w:b w:val="false"/>
          <w:color w:val="000000"/>
          <w:sz w:val="22"/>
        </w:rPr>
        <w:t>shall mean the Other Refinancing Revolving Loans and the Other Refinancing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Refinancing Revolving Commitments</w:t>
      </w:r>
      <w:r>
        <w:rPr>
          <w:color w:val="000000"/>
        </w:rPr>
        <w:t xml:space="preserve">” </w:t>
      </w:r>
      <w:r>
        <w:rPr>
          <w:rFonts w:ascii="Times New Roman;serif" w:hAnsi="Times New Roman;serif"/>
          <w:b w:val="false"/>
          <w:color w:val="000000"/>
          <w:sz w:val="22"/>
        </w:rPr>
        <w:t>shall mean one or more classes of revolving commitments hereunder or extended Revolving Commitments that result from a Refinancing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Refinancing Revolving Loans</w:t>
      </w:r>
      <w:r>
        <w:rPr>
          <w:color w:val="000000"/>
        </w:rPr>
        <w:t xml:space="preserve">” </w:t>
      </w:r>
      <w:r>
        <w:rPr>
          <w:rFonts w:ascii="Times New Roman;serif" w:hAnsi="Times New Roman;serif"/>
          <w:b w:val="false"/>
          <w:color w:val="000000"/>
          <w:sz w:val="22"/>
        </w:rPr>
        <w:t>shall mean the Revolving Loans made pursuant to any Other Refinancing Revolving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Refinancing Term Loan Commitments</w:t>
      </w:r>
      <w:r>
        <w:rPr>
          <w:color w:val="000000"/>
        </w:rPr>
        <w:t xml:space="preserve">” </w:t>
      </w:r>
      <w:r>
        <w:rPr>
          <w:rFonts w:ascii="Times New Roman;serif" w:hAnsi="Times New Roman;serif"/>
          <w:b w:val="false"/>
          <w:color w:val="000000"/>
          <w:sz w:val="22"/>
        </w:rPr>
        <w:t>shall mean one or more classes of term loan commitments hereunder that result from a Refinancing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Refinancing Term Loans</w:t>
      </w:r>
      <w:r>
        <w:rPr>
          <w:color w:val="000000"/>
        </w:rPr>
        <w:t xml:space="preserve">” </w:t>
      </w:r>
      <w:r>
        <w:rPr>
          <w:rFonts w:ascii="Times New Roman;serif" w:hAnsi="Times New Roman;serif"/>
          <w:b w:val="false"/>
          <w:color w:val="000000"/>
          <w:sz w:val="22"/>
        </w:rPr>
        <w:t>shall mean one or more classes of Term Loans that result from a Refinancing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shall mean any and all present or future stamp, court or documentary, intangible, recording, filing or similar Taxes that arise from any payment made hereunder or under any other Loan Document or from the execution, delivery, performance, enforcement or registration of, from the receipt or perfection of a security interest under, or otherwise with respect to, any Loan Document, except any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036955"/>
                <wp:effectExtent l="0" t="0" r="0" b="0"/>
                <wp:wrapNone/>
                <wp:docPr id="162" name="Frame16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such Taxes that are Other Connection Taxes imposed with respect to an assignment (other than an assignment made pursuant to </w:t>
      </w:r>
      <w:r>
        <w:rPr>
          <w:rFonts w:ascii="Times New Roman;serif" w:hAnsi="Times New Roman;serif"/>
          <w:b w:val="false"/>
          <w:color w:val="000000"/>
          <w:sz w:val="22"/>
          <w:u w:val="single"/>
        </w:rPr>
        <w:t>Section 2.25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 xml:space="preserve">shall mean the regulations administered and enforced, together with any related public guidance issued, by the United States Treasury Department under U.S. Executive Order 14105 of August 9, 2023, or any similar law or regulation; as of the Closing Date, and as codified at 31 C.F.R. § 850.101 et seq.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 Covenant Holiday</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 Company</w:t>
      </w:r>
      <w:r>
        <w:rPr>
          <w:color w:val="000000"/>
        </w:rPr>
        <w:t xml:space="preserve">” </w:t>
      </w:r>
      <w:r>
        <w:rPr>
          <w:rFonts w:ascii="Times New Roman;serif" w:hAnsi="Times New Roman;serif"/>
          <w:b w:val="false"/>
          <w:color w:val="000000"/>
          <w:sz w:val="22"/>
        </w:rPr>
        <w:t>shall mean, with respect to a Lender, the “bank holding company” as defined in Regulation Y, if any, of such Lender, and/or any Person owning, beneficially or of record, directly or indirectly, a majority of the shares of such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10.4(d)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10.4(d)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w:t>
      </w:r>
      <w:r>
        <w:rPr>
          <w:color w:val="000000"/>
        </w:rPr>
        <w:t xml:space="preserve">” </w:t>
      </w:r>
      <w:r>
        <w:rPr>
          <w:rFonts w:ascii="Times New Roman;serif" w:hAnsi="Times New Roman;serif"/>
          <w:b w:val="false"/>
          <w:color w:val="000000"/>
          <w:sz w:val="22"/>
        </w:rPr>
        <w:t>shall have the meaning assigned to such term in the Guaranty and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 Security Agreement</w:t>
      </w:r>
      <w:r>
        <w:rPr>
          <w:color w:val="000000"/>
        </w:rPr>
        <w:t xml:space="preserve">” </w:t>
      </w:r>
      <w:r>
        <w:rPr>
          <w:rFonts w:ascii="Times New Roman;serif" w:hAnsi="Times New Roman;serif"/>
          <w:b w:val="false"/>
          <w:color w:val="000000"/>
          <w:sz w:val="22"/>
        </w:rPr>
        <w:t>shall mean any Patent Security Agreement executed by a Loan Party owning Patents or licenses of Patents in favor of the Administrative Agent for the benefit of the Secured Parties, in each case as amended, restated, reaffirmed,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shall mean the Uniting and Strengthening America by Providing Appropriate Tools Required to Intercept and Obstruct Terrorism Act of 2001, Pub. L. 107-56.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Payment in Full</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Paid in Full</w:t>
      </w:r>
      <w:r>
        <w:rPr>
          <w:color w:val="000000"/>
        </w:rPr>
        <w:t xml:space="preserve">” </w:t>
      </w:r>
      <w:r>
        <w:rPr>
          <w:rFonts w:ascii="Times New Roman;serif" w:hAnsi="Times New Roman;serif"/>
          <w:b w:val="false"/>
          <w:color w:val="000000"/>
          <w:sz w:val="22"/>
        </w:rPr>
        <w:t>shall mean the termination of all Commitments under the Loan Documents and the payment in full, in immediately available funds, of all of the Obligations (other than (a) contingent indemnification and expense reimbursement Obligations, in each case, to the extent no claim giving rise thereto has been asserted, (b) Hedging Obligations to the extent arrangements satisfactory to the Lender-Related Hedge Provider shall have been made and (c) contingent Obligations with respect to which the deposit of cash collateral (in the case of LC Exposure, which shall not exceed 103% of the face amount of the relevant Letters of Credit) (or, as an alternative to cash collateral in the case of any LC Exposure, receipt by the Administrative Agent of a back-up letter of credit reasonably satisfactory to the Administrative Agent and the applicable Issuing Bank), in amounts and on terms and conditions and with parties reasonably satisfactory to the Administrative Agent has been provided).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Payment Office</w:t>
      </w:r>
      <w:r>
        <w:rPr>
          <w:color w:val="000000"/>
        </w:rPr>
        <w:t xml:space="preserve">” </w:t>
      </w:r>
      <w:r>
        <w:rPr>
          <w:rFonts w:ascii="Times New Roman;serif" w:hAnsi="Times New Roman;serif"/>
          <w:b w:val="false"/>
          <w:color w:val="000000"/>
          <w:sz w:val="22"/>
        </w:rPr>
        <w:t>shall mean the office of the Administrative Agent located at 303 Peachtree Street, N.E., Atlanta, Georgia 30308, or such other location as to which the Administrative Agent shall have given written notice to the Borrower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shall mean the U.S.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Perfection Certificate</w:t>
      </w:r>
      <w:r>
        <w:rPr>
          <w:color w:val="000000"/>
        </w:rPr>
        <w:t xml:space="preserve">” </w:t>
      </w:r>
      <w:r>
        <w:rPr>
          <w:rFonts w:ascii="Times New Roman;serif" w:hAnsi="Times New Roman;serif"/>
          <w:b w:val="false"/>
          <w:color w:val="000000"/>
          <w:sz w:val="22"/>
        </w:rPr>
        <w:t>shall mean that certain Perfection Certificate, dated as of the Closing Date, which is executed and delivered by the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036955"/>
                <wp:effectExtent l="0" t="0" r="0" b="0"/>
                <wp:wrapNone/>
                <wp:docPr id="163" name="Frame16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20"/>
        <w:ind w:left="0" w:right="0" w:firstLine="720"/>
        <w:jc w:val="left"/>
        <w:rPr/>
      </w:pPr>
      <w:r>
        <w:rPr>
          <w:color w:val="000000"/>
        </w:rPr>
        <w:t>“</w:t>
      </w:r>
      <w:r>
        <w:rPr>
          <w:rFonts w:ascii="Times New Roman;serif" w:hAnsi="Times New Roman;serif"/>
          <w:b w:val="false"/>
          <w:color w:val="000000"/>
          <w:sz w:val="22"/>
          <w:u w:val="single"/>
        </w:rPr>
        <w:t>Periodic Term SOFR Determination Day</w:t>
      </w:r>
      <w:r>
        <w:rPr>
          <w:color w:val="000000"/>
        </w:rPr>
        <w:t xml:space="preserve">” </w:t>
      </w:r>
      <w:r>
        <w:rPr>
          <w:rFonts w:ascii="Times New Roman;serif" w:hAnsi="Times New Roman;serif"/>
          <w:b w:val="false"/>
          <w:color w:val="000000"/>
          <w:sz w:val="22"/>
        </w:rPr>
        <w:t>shall have the meaning set forth in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shall mean any Acquisition by the Borrower or any of its Subsidiaries that occurs when the following conditions have been satisfied:</w:t>
      </w:r>
      <w:r>
        <w:rPr>
          <w:color w:val="000000"/>
        </w:rPr>
        <w:t xml:space="preserve"> </w:t>
      </w:r>
    </w:p>
    <w:p>
      <w:pPr>
        <w:pStyle w:val="TextBody"/>
        <w:bidi w:val="0"/>
        <w:spacing w:lineRule="auto" w:line="240" w:before="0" w:after="240"/>
        <w:ind w:left="0" w:right="0" w:firstLine="1440"/>
        <w:jc w:val="both"/>
        <w:rPr/>
      </w:pPr>
      <w:bookmarkStart w:id="20" w:name="ife64edbff56d4a89bb139613815a0545"/>
      <w:bookmarkEnd w:id="20"/>
      <w:r>
        <w:rPr>
          <w:rFonts w:ascii="Times New Roman;serif" w:hAnsi="Times New Roman;serif"/>
          <w:b w:val="false"/>
          <w:color w:val="000000"/>
          <w:sz w:val="22"/>
        </w:rPr>
        <w:t>(i)subject, in the case of a Limited Condition Acquisition, to</w:t>
      </w:r>
      <w:r>
        <w:rPr>
          <w:color w:val="000000"/>
          <w:u w:val="single"/>
        </w:rPr>
        <w:t xml:space="preserve"> </w:t>
      </w:r>
      <w:r>
        <w:rPr>
          <w:rFonts w:ascii="Times New Roman;serif" w:hAnsi="Times New Roman;serif"/>
          <w:b w:val="false"/>
          <w:color w:val="000000"/>
          <w:sz w:val="22"/>
          <w:u w:val="single"/>
        </w:rPr>
        <w:t>Section 1.7</w:t>
      </w:r>
      <w:r>
        <w:rPr>
          <w:rFonts w:ascii="Times New Roman;serif" w:hAnsi="Times New Roman;serif"/>
          <w:b w:val="false"/>
          <w:color w:val="000000"/>
          <w:sz w:val="22"/>
        </w:rPr>
        <w:t xml:space="preserve">, before and after giving effect to such Acquisition, no Event of Default has occurred and is continuing or would result therefrom;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makes an LCA Election pursuant to </w:t>
      </w:r>
      <w:r>
        <w:rPr>
          <w:rFonts w:ascii="Times New Roman;serif" w:hAnsi="Times New Roman;serif"/>
          <w:b w:val="false"/>
          <w:color w:val="000000"/>
          <w:sz w:val="22"/>
          <w:u w:val="single"/>
        </w:rPr>
        <w:t>Section 1.7</w:t>
      </w:r>
      <w:r>
        <w:rPr>
          <w:color w:val="000000"/>
        </w:rPr>
        <w:t xml:space="preserve"> </w:t>
      </w:r>
      <w:r>
        <w:rPr>
          <w:rFonts w:ascii="Times New Roman;serif" w:hAnsi="Times New Roman;serif"/>
          <w:b w:val="false"/>
          <w:color w:val="000000"/>
          <w:sz w:val="22"/>
        </w:rPr>
        <w:t>and such condition is tested as of the applicable LCA Test Date, it shall also be a condition that no Specified Event of Default shall have occurred and be continuing or would result from such Acquisition and the transactions consummated in connection therewith (including the incurrence of any Indebtedness and the use proceeds thereof) on the date on which such Acquisition is consummated;</w:t>
      </w:r>
    </w:p>
    <w:p>
      <w:pPr>
        <w:pStyle w:val="TextBody"/>
        <w:bidi w:val="0"/>
        <w:spacing w:lineRule="auto" w:line="240" w:before="0" w:after="240"/>
        <w:ind w:left="0" w:right="0" w:firstLine="1440"/>
        <w:jc w:val="both"/>
        <w:rPr/>
      </w:pPr>
      <w:bookmarkStart w:id="21" w:name="ic7b5ba71831e4a51a081a36ec77ee773"/>
      <w:bookmarkEnd w:id="21"/>
      <w:r>
        <w:rPr>
          <w:rFonts w:ascii="Times New Roman;serif" w:hAnsi="Times New Roman;serif"/>
          <w:b w:val="false"/>
          <w:color w:val="000000"/>
          <w:sz w:val="22"/>
        </w:rPr>
        <w:t>(ii)subject, in the case of a Limited Condition Acquisition, to</w:t>
      </w:r>
      <w:r>
        <w:rPr>
          <w:color w:val="000000"/>
          <w:u w:val="single"/>
        </w:rPr>
        <w:t xml:space="preserve"> </w:t>
      </w:r>
      <w:r>
        <w:rPr>
          <w:rFonts w:ascii="Times New Roman;serif" w:hAnsi="Times New Roman;serif"/>
          <w:b w:val="false"/>
          <w:color w:val="000000"/>
          <w:sz w:val="22"/>
          <w:u w:val="single"/>
        </w:rPr>
        <w:t>Section 1.7</w:t>
      </w:r>
      <w:r>
        <w:rPr>
          <w:rFonts w:ascii="Times New Roman;serif" w:hAnsi="Times New Roman;serif"/>
          <w:b w:val="false"/>
          <w:color w:val="000000"/>
          <w:sz w:val="22"/>
        </w:rPr>
        <w:t xml:space="preserve">, the Borrower is in pro forma compliance with each of the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as of the most recently ended Test Period (calculated on a Pro Forma Basis);</w:t>
      </w:r>
      <w:r>
        <w:rPr>
          <w:color w:val="000000"/>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 w:name="i01d4a847a92b4ce1a395749970378fb7"/>
      <w:bookmarkEnd w:id="22"/>
      <w:r>
        <w:rPr>
          <w:rFonts w:ascii="Times New Roman;serif" w:hAnsi="Times New Roman;serif"/>
          <w:b w:val="false"/>
          <w:color w:val="000000"/>
          <w:sz w:val="22"/>
        </w:rPr>
        <w:t xml:space="preserve">(iii)at least 5 days prior to the date of the consummation of any such Acquisition in which the Investment Consideration is greater than $100,000,000, the Borrower shall have delivered to the Administrative Agent notice of such Acquisition, together with available historical financial information and analysis with respect to the Person whose stock or assets are being acquired and copies of the acquisition agreement and such other information in the possession of the Borrower that is reasonably requested by the Administrative Agent;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 w:name="iba929fe9dffe478f998161d2316ca2f2"/>
      <w:bookmarkEnd w:id="23"/>
      <w:r>
        <w:rPr>
          <w:rFonts w:ascii="Times New Roman;serif" w:hAnsi="Times New Roman;serif"/>
          <w:b w:val="false"/>
          <w:color w:val="000000"/>
          <w:sz w:val="22"/>
        </w:rPr>
        <w:t>(iv)such Acquisition is consensual and approved by the board of directors (or the equivalent thereof) of the Person whose stock or assets are being acquired;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4" w:name="i897b3d0f9a2f4d10a184a52721d5a30f"/>
      <w:bookmarkEnd w:id="24"/>
      <w:r>
        <w:rPr>
          <w:rFonts w:ascii="Times New Roman;serif" w:hAnsi="Times New Roman;serif"/>
          <w:b w:val="false"/>
          <w:color w:val="000000"/>
          <w:sz w:val="22"/>
        </w:rPr>
        <w:t>(v)the Person or assets being acquired is in the same type of business conducted by the Borrower and its Subsidiaries on the Closing Date or any business reasonably related thereto or ancillary or complementary thereto;</w:t>
      </w:r>
    </w:p>
    <w:p>
      <w:pPr>
        <w:pStyle w:val="TextBody"/>
        <w:bidi w:val="0"/>
        <w:spacing w:lineRule="auto" w:line="240" w:before="0" w:after="240"/>
        <w:ind w:left="0" w:right="0" w:firstLine="1440"/>
        <w:jc w:val="both"/>
        <w:rPr/>
      </w:pPr>
      <w:bookmarkStart w:id="25" w:name="i589e7b8b8d2340ebaf9190f4903cead6"/>
      <w:bookmarkEnd w:id="25"/>
      <w:r>
        <w:rPr>
          <w:rFonts w:ascii="Times New Roman;serif" w:hAnsi="Times New Roman;serif"/>
          <w:b w:val="false"/>
          <w:color w:val="000000"/>
          <w:sz w:val="22"/>
        </w:rPr>
        <w:t xml:space="preserve">(vi)the aggregate amount of cash consideration paid or payable in respect of Permitted Acquisitions of Persons that do not become Loan Parties or assets that do not become owned by Loan Parties, together with the aggregate outstanding amount of Investments by the Loan Parties (a) in or to any Subsidiary that is not a Subsidiary Loan Party pursuant to </w:t>
      </w:r>
      <w:r>
        <w:rPr>
          <w:rFonts w:ascii="Times New Roman;serif" w:hAnsi="Times New Roman;serif"/>
          <w:b w:val="false"/>
          <w:color w:val="000000"/>
          <w:sz w:val="22"/>
          <w:u w:val="single"/>
        </w:rPr>
        <w:t>Section 7.4(d)</w:t>
      </w:r>
      <w:r>
        <w:rPr>
          <w:color w:val="000000"/>
        </w:rPr>
        <w:t xml:space="preserve"> </w:t>
      </w:r>
      <w:r>
        <w:rPr>
          <w:rFonts w:ascii="Times New Roman;serif" w:hAnsi="Times New Roman;serif"/>
          <w:b w:val="false"/>
          <w:color w:val="000000"/>
          <w:sz w:val="22"/>
        </w:rPr>
        <w:t xml:space="preserve">or (b) in the Capital Stock of a Person that does not result in such Person becoming a “Subsidiary” of any Loan Party pursuant to </w:t>
      </w:r>
      <w:r>
        <w:rPr>
          <w:rFonts w:ascii="Times New Roman;serif" w:hAnsi="Times New Roman;serif"/>
          <w:b w:val="false"/>
          <w:color w:val="000000"/>
          <w:sz w:val="22"/>
          <w:u w:val="single"/>
        </w:rPr>
        <w:t>Section 7.4(u)</w:t>
      </w:r>
      <w:r>
        <w:rPr>
          <w:rFonts w:ascii="Times New Roman;serif" w:hAnsi="Times New Roman;serif"/>
          <w:b w:val="false"/>
          <w:color w:val="000000"/>
          <w:sz w:val="22"/>
        </w:rPr>
        <w:t>, shall not at any time exceed, the greater of (x) 20% of Consolidated EBITDA for the most recently ended Test Period (calculated on a Pro Forma Basis) and (y) $88,000,000;</w:t>
      </w:r>
    </w:p>
    <w:p>
      <w:pPr>
        <w:pStyle w:val="TextBody"/>
        <w:bidi w:val="0"/>
        <w:spacing w:lineRule="auto" w:line="240" w:before="0" w:after="240"/>
        <w:ind w:left="0" w:right="0" w:firstLine="1440"/>
        <w:jc w:val="both"/>
        <w:rPr/>
      </w:pPr>
      <w:bookmarkStart w:id="26" w:name="ie6e6188d421f4a98b5cd51bf777d3abf"/>
      <w:bookmarkEnd w:id="26"/>
      <w:r>
        <w:rPr>
          <w:rFonts w:ascii="Times New Roman;serif" w:hAnsi="Times New Roman;serif"/>
          <w:b w:val="false"/>
          <w:color w:val="000000"/>
          <w:sz w:val="22"/>
        </w:rPr>
        <w:t xml:space="preserve">(vii)the Borrower shall have executed and delivered, or caused its Subsidiaries to execute and deliver, all guarantees, Collateral Documents and other related documents required under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within the time period required thereby, and, in addition to the foregoing, in the case of any Acquisition of a new Subsidiary, such Subsidiary shall be eligible to be joined as a Loan Party after giving effect to any exclusions set forth in the definition of “Excluded Subsidiary” (and each such new Subsidiary shall, if so required, be joined as a Loan Party within the timeframe permitted by </w:t>
      </w:r>
      <w:r>
        <w:rPr>
          <w:rFonts w:ascii="Times New Roman;serif" w:hAnsi="Times New Roman;serif"/>
          <w:b w:val="false"/>
          <w:color w:val="000000"/>
          <w:sz w:val="22"/>
          <w:u w:val="single"/>
        </w:rPr>
        <w:t>Section 5.12</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27" w:name="ibf3eb8018a81459491aa4b7d0f675322"/>
      <w:bookmarkEnd w:id="27"/>
      <w:r>
        <w:rPr>
          <w:rFonts w:ascii="Times New Roman;serif" w:hAnsi="Times New Roman;serif"/>
          <w:b w:val="false"/>
          <w:color w:val="000000"/>
          <w:sz w:val="22"/>
        </w:rPr>
        <w:t xml:space="preserve">(viii)solely with respect to any such Acquisition in which the Investment Consideration is greater than $100,000,000, the Borrower has delivered to the Administrative Agent a certificate executed by a Responsible Officer certifying that each of the conditions set forth in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above has been satisfied; and</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036955"/>
                <wp:effectExtent l="0" t="0" r="0" b="0"/>
                <wp:wrapNone/>
                <wp:docPr id="164" name="Frame16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8" w:name="i0d0d9bbc83a845e48f290de6ae6da206"/>
      <w:bookmarkEnd w:id="28"/>
      <w:r>
        <w:rPr>
          <w:rFonts w:ascii="Times New Roman;serif" w:hAnsi="Times New Roman;serif"/>
          <w:b w:val="false"/>
          <w:color w:val="000000"/>
          <w:sz w:val="22"/>
        </w:rPr>
        <w:t>(ix)such Acquisition is consummated in compliance, in all material respects, with all Requirements of Law, and all material consents and approvals from any Governmental Authority required in connection with such Acquisition have been obtained.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Convertible Indebtedness</w:t>
      </w:r>
      <w:r>
        <w:rPr>
          <w:color w:val="000000"/>
        </w:rPr>
        <w:t xml:space="preserve">” </w:t>
      </w:r>
      <w:r>
        <w:rPr>
          <w:rFonts w:ascii="Times New Roman;serif" w:hAnsi="Times New Roman;serif"/>
          <w:b w:val="false"/>
          <w:color w:val="000000"/>
          <w:sz w:val="22"/>
        </w:rPr>
        <w:t xml:space="preserve">means (x) Indebtedness outstanding under the 2029 Convertible Notes, and (y) Indebtedness of the Borrower or any Subsidiary of the Borrower that is a Loan Party having a feature which entitles the holder thereof in certain circumstances to convert or exchange all or a portion of such Indebtedness into Capital Stock in the Borrower or such Subsidiary (or other securities or property following a merger event or other change of the common stock of the Borrower or such Subsidiary), cash or any combination of cash and such Capital Stock (or such other securities or property) based on the market price of such Capital Stock (or such other securities or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respect of this clause (y), (a) such Indebtedness shall be unsecured, (b) such Indebtedness shall not be guaranteed by any Subsidiary of the Borrower, (c) such Indebtedness shall not include covenants and defaults (other than covenants and defaults customary for convertible indebtedness, as determined by the Borrower in its good faith judgment) that are, taken as a whole, more restrictive on the Loan Parties than the provisions of this Agreement (as determined by the Borrower in its good faith judgment), (d) immediately prior to and after giving effect to the incurrence of such Indebtedness, no Default or Event of Default shall have occurred and be continuing, (e) such Indebtedness shall not (i) mature or be mandatorily redeemable, pursuant to a sinking fund obligation or otherwise, (ii) be redeemable at the option of the holder thereof, in whole or in part or (iii) provide for the scheduled payment of dividends or distributions (other than scheduled cash interest payments) in cash, in each case of the foregoing </w:t>
      </w:r>
      <w:r>
        <w:rPr>
          <w:rFonts w:ascii="Times New Roman;serif" w:hAnsi="Times New Roman;serif"/>
          <w:b w:val="false"/>
          <w:color w:val="000000"/>
          <w:sz w:val="22"/>
          <w:u w:val="single"/>
        </w:rPr>
        <w:t>sub-clauses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earlier than six (6) months after the Maturity Date (it being understood, for the avoidance of doubt, that (w) a redemption right of the Borrower or such Subsidiary in respect of such Indebtedness, (x) conversion rights of holders in respect of such Indebtedness, (y) acceleration rights of holders of such Indebtedness upon the occurrence of an event of default specified in the agreement governing such Indebtedness and (z) the obligation to pay customary amounts to holders of such Indebtedness in connection with a “change of control” or “fundamental change”, in each case, shall not be considered in connection with the determination of scheduled maturity date or any of the foregoing for purposes of this </w:t>
      </w:r>
      <w:r>
        <w:rPr>
          <w:rFonts w:ascii="Times New Roman;serif" w:hAnsi="Times New Roman;serif"/>
          <w:b w:val="false"/>
          <w:color w:val="000000"/>
          <w:sz w:val="22"/>
          <w:u w:val="single"/>
        </w:rPr>
        <w:t>clause (e)</w:t>
      </w:r>
      <w:r>
        <w:rPr>
          <w:rFonts w:ascii="Times New Roman;serif" w:hAnsi="Times New Roman;serif"/>
          <w:b w:val="false"/>
          <w:color w:val="000000"/>
          <w:sz w:val="22"/>
        </w:rPr>
        <w:t xml:space="preserve">); and (f) the Borrower shall have delivered to the Administrative Agent a certificate of a Responsible Officer of the Borrower certifying as to the foregoing clauses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above with respect to any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shall mean: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9" w:name="i82259b87334a4e3f9c647965a00037c9"/>
      <w:bookmarkEnd w:id="29"/>
      <w:r>
        <w:rPr>
          <w:rFonts w:ascii="Times New Roman;serif" w:hAnsi="Times New Roman;serif"/>
          <w:b w:val="false"/>
          <w:color w:val="000000"/>
          <w:sz w:val="22"/>
        </w:rPr>
        <w:t>(i)Liens imposed by law for Taxes not overdue for a period of more than five (5) Business Days, or if more than five (5) Business Days overdue, (A) which are being contested in good faith by appropriate proceedings diligently conducted and with respect to which adequate reserves are being maintained in accordance with GAAP or (B) with respect to which the failure to make payment would not be reasonably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0" w:name="id2cea672b1e747aca99db0dacfb7cd88"/>
      <w:bookmarkEnd w:id="30"/>
      <w:r>
        <w:rPr>
          <w:rFonts w:ascii="Times New Roman;serif" w:hAnsi="Times New Roman;serif"/>
          <w:b w:val="false"/>
          <w:color w:val="000000"/>
          <w:sz w:val="22"/>
        </w:rPr>
        <w:t>(ii)statutory Liens of landlords, carriers, warehousemen, mechanics, materialmen and other Liens imposed by law in the ordinary course of business for amounts not overdue for a period of more than thirty (30) days, or if more than thirty (30) days overdue, (A) no action has been taken to enforce such Lien, or (B) which are being contested in good faith by appropriate proceedings diligently conducted and with respect to which adequate reserves are being maintained in accordance with GAAP or (C) with respect to which the failure to make payment would not be reasonably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1" w:name="id412eff3da964fb6a691fbc32e13c3eb"/>
      <w:bookmarkEnd w:id="31"/>
      <w:r>
        <w:rPr>
          <w:rFonts w:ascii="Times New Roman;serif" w:hAnsi="Times New Roman;serif"/>
          <w:b w:val="false"/>
          <w:color w:val="000000"/>
          <w:sz w:val="22"/>
        </w:rPr>
        <w:t>(iii)pledges and deposits made in the ordinary course of business in compliance with workers’ compensation, unemployment insurance and other social security laws or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036955"/>
                <wp:effectExtent l="0" t="0" r="0" b="0"/>
                <wp:wrapNone/>
                <wp:docPr id="165" name="Frame16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2" w:name="ia46e203bc5c24af28b4965a4f67aa705"/>
      <w:bookmarkEnd w:id="32"/>
      <w:r>
        <w:rPr>
          <w:rFonts w:ascii="Times New Roman;serif" w:hAnsi="Times New Roman;serif"/>
          <w:b w:val="false"/>
          <w:color w:val="000000"/>
          <w:sz w:val="22"/>
        </w:rPr>
        <w:t>(iv)deposits to secure the performance of bids, trade contracts, leases, statutory obligations, surety and appeal bonds, performance bonds and other obligations of a like nature, in each case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 w:name="i51e31eaeab58490b976d2621d28198a6"/>
      <w:bookmarkEnd w:id="33"/>
      <w:r>
        <w:rPr>
          <w:rFonts w:ascii="Times New Roman;serif" w:hAnsi="Times New Roman;serif"/>
          <w:b w:val="false"/>
          <w:color w:val="000000"/>
          <w:sz w:val="22"/>
        </w:rPr>
        <w:t>(v)judgment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 w:name="i88f1a76b522e4e5f8236b5edbb09a4d0"/>
      <w:bookmarkEnd w:id="34"/>
      <w:r>
        <w:rPr>
          <w:rFonts w:ascii="Times New Roman;serif" w:hAnsi="Times New Roman;serif"/>
          <w:b w:val="false"/>
          <w:color w:val="000000"/>
          <w:sz w:val="22"/>
        </w:rPr>
        <w:t xml:space="preserve">(vi)customary rights of set-off, revocation, refund or chargeback under deposit agreements or under the Uniform Commercial Code or common law of banks or other financial institutions where the Borrower or any of its Subsidiaries maintains deposits (other than deposits intended as cash collateral) in the ordinary course of business;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5" w:name="ic9a70d880dfa468d974427dc7948e4d1"/>
      <w:bookmarkEnd w:id="35"/>
      <w:r>
        <w:rPr>
          <w:rFonts w:ascii="Times New Roman;serif" w:hAnsi="Times New Roman;serif"/>
          <w:b w:val="false"/>
          <w:color w:val="000000"/>
          <w:sz w:val="22"/>
        </w:rPr>
        <w:t>(vii)easements, zoning restrictions, rights-of-way, covenants, conditions, restrictions, and other encumbrances on real property that do not secure any monetary obligations and do not in the aggregate materially and adversely interfere with the ordinary conduct of the business of the Borrower and its Subsidiaries;</w:t>
      </w:r>
    </w:p>
    <w:p>
      <w:pPr>
        <w:pStyle w:val="TextBody"/>
        <w:bidi w:val="0"/>
        <w:spacing w:lineRule="auto" w:line="240" w:before="0" w:after="240"/>
        <w:ind w:left="0" w:right="0" w:firstLine="1440"/>
        <w:jc w:val="both"/>
        <w:rPr/>
      </w:pPr>
      <w:bookmarkStart w:id="36" w:name="i537a5645a3ea4b2f81167143cf906709"/>
      <w:bookmarkEnd w:id="36"/>
      <w:r>
        <w:rPr>
          <w:rFonts w:ascii="Times New Roman;serif" w:hAnsi="Times New Roman;serif"/>
          <w:b w:val="false"/>
          <w:color w:val="000000"/>
          <w:sz w:val="22"/>
        </w:rPr>
        <w:t xml:space="preserve">(viii)(x) Liens solely on any cash earnest money deposits made by the Borrower or any of its Subsidiaries, (y) restrictions on transfers of assets that are subject to sale or transfer pursuant to purchase and sale arrangements, in each case, in connection with any letter of intent or purchase and sale agreement permitted hereunder and (z) Liens consisting of an agreement to dispose of any property in an asset sale permitted under </w:t>
      </w:r>
      <w:r>
        <w:rPr>
          <w:rFonts w:ascii="Times New Roman;serif" w:hAnsi="Times New Roman;serif"/>
          <w:b w:val="false"/>
          <w:color w:val="000000"/>
          <w:sz w:val="22"/>
          <w:u w:val="single"/>
        </w:rPr>
        <w:t>Section 7.6</w:t>
      </w:r>
      <w:r>
        <w:rPr>
          <w:color w:val="000000"/>
        </w:rPr>
        <w:t xml:space="preserve"> </w:t>
      </w:r>
      <w:r>
        <w:rPr>
          <w:rFonts w:ascii="Times New Roman;serif" w:hAnsi="Times New Roman;serif"/>
          <w:b w:val="false"/>
          <w:color w:val="000000"/>
          <w:sz w:val="22"/>
        </w:rPr>
        <w:t>solely to the extent such disposition would have been permitted on the date of the creation of such Lien;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7" w:name="i9fe7d96d918640a888323f7463dd334c"/>
      <w:bookmarkEnd w:id="37"/>
      <w:r>
        <w:rPr>
          <w:rFonts w:ascii="Times New Roman;serif" w:hAnsi="Times New Roman;serif"/>
          <w:b w:val="false"/>
          <w:color w:val="000000"/>
          <w:sz w:val="22"/>
        </w:rPr>
        <w:t xml:space="preserve">(ix)in the case of any non-wholly owned Subsidiary or joint venture, any put and call arrangements or restrictions on disposition related to its Capital Stock set forth in its organizational documents or any related joint venture or similar agreement; </w:t>
      </w:r>
    </w:p>
    <w:p>
      <w:pPr>
        <w:pStyle w:val="TextBody"/>
        <w:bidi w:val="0"/>
        <w:spacing w:lineRule="auto" w:line="240" w:before="0" w:after="240"/>
        <w:ind w:left="0" w:right="0" w:firstLine="1440"/>
        <w:jc w:val="both"/>
        <w:rPr/>
      </w:pPr>
      <w:bookmarkStart w:id="38" w:name="i75c7a92de581491481438761f349c0d1"/>
      <w:bookmarkEnd w:id="38"/>
      <w:r>
        <w:rPr>
          <w:rFonts w:ascii="Times New Roman;serif" w:hAnsi="Times New Roman;serif"/>
          <w:b w:val="false"/>
          <w:color w:val="000000"/>
          <w:sz w:val="22"/>
        </w:rPr>
        <w:t xml:space="preserve">(x)any licenses or sublicenses of intellectual property permitted under </w:t>
      </w:r>
      <w:r>
        <w:rPr>
          <w:rFonts w:ascii="Times New Roman;serif" w:hAnsi="Times New Roman;serif"/>
          <w:b w:val="false"/>
          <w:color w:val="000000"/>
          <w:sz w:val="22"/>
          <w:u w:val="single"/>
        </w:rPr>
        <w:t>Section 7.6(d)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9" w:name="id4a80fcebdf7404dabbc32bd750ccdf4"/>
      <w:bookmarkEnd w:id="39"/>
      <w:r>
        <w:rPr>
          <w:rFonts w:ascii="Times New Roman;serif" w:hAnsi="Times New Roman;serif"/>
          <w:b w:val="false"/>
          <w:color w:val="000000"/>
          <w:sz w:val="22"/>
        </w:rPr>
        <w:t>(xi)leases or subleases to others not interfering in any material respect with the business of the Borrower or any of its Subsidiaries and any interest or title of a lessor under any lease not in violation of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0" w:name="i5677bc4847e94bfb8654bd2b136ce1a7"/>
      <w:bookmarkEnd w:id="40"/>
      <w:r>
        <w:rPr>
          <w:rFonts w:ascii="Times New Roman;serif" w:hAnsi="Times New Roman;serif"/>
          <w:b w:val="false"/>
          <w:color w:val="000000"/>
          <w:sz w:val="22"/>
        </w:rPr>
        <w:t>(xii)Liens arising from the rights of lessors under leases (including financing statements regarding property subject to lease) not in violation of the requirements of this Agreement, provided that such Liens are only in respect of the property subject to, and secure only, the obligations under the respective lease (and any other lease with the same or an affiliated lessor);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1" w:name="i637b9e5975874246a0f6ca701408a607"/>
      <w:bookmarkEnd w:id="41"/>
      <w:r>
        <w:rPr>
          <w:rFonts w:ascii="Times New Roman;serif" w:hAnsi="Times New Roman;serif"/>
          <w:b w:val="false"/>
          <w:color w:val="000000"/>
          <w:sz w:val="22"/>
        </w:rPr>
        <w:t>(xiii)Liens encumbering the interests of lessors under leases;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2" w:name="ia14946626f2240b0a1897a1f850f7864"/>
      <w:bookmarkEnd w:id="42"/>
      <w:r>
        <w:rPr>
          <w:rFonts w:ascii="Times New Roman;serif" w:hAnsi="Times New Roman;serif"/>
          <w:b w:val="false"/>
          <w:color w:val="000000"/>
          <w:sz w:val="22"/>
        </w:rPr>
        <w:t>(xiv)purported Liens evidenced by the filing of precautionary Uniform Commercial Code financing statements relating solely to operating leases of personal property entered into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3" w:name="id9b53a0eaa37480798046d3fc5ca940c"/>
      <w:bookmarkEnd w:id="43"/>
      <w:r>
        <w:rPr>
          <w:rFonts w:ascii="Times New Roman;serif" w:hAnsi="Times New Roman;serif"/>
          <w:b w:val="false"/>
          <w:color w:val="000000"/>
          <w:sz w:val="22"/>
        </w:rPr>
        <w:t>(xv)Liens (i) in favor of customs and revenue authorities arising as a matter of law to secure payment of customs duties in connection with the importation of goods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goods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036955"/>
                <wp:effectExtent l="0" t="0" r="0" b="0"/>
                <wp:wrapNone/>
                <wp:docPr id="166" name="Frame16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4" w:name="ic6f3809d67a3418db802accb444e057e"/>
      <w:bookmarkEnd w:id="44"/>
      <w:r>
        <w:rPr>
          <w:rFonts w:ascii="Times New Roman;serif" w:hAnsi="Times New Roman;serif"/>
          <w:b w:val="false"/>
          <w:color w:val="000000"/>
          <w:sz w:val="22"/>
        </w:rPr>
        <w:t>(xvi)Liens on insurance premium refunds and insurance proceeds granted in favor of insurance companies (or their financing affiliates) in connection with the financing of insurance premiums;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5" w:name="i073c22941ac04ac9b50c40949df0ec7d"/>
      <w:bookmarkEnd w:id="45"/>
      <w:r>
        <w:rPr>
          <w:rFonts w:ascii="Times New Roman;serif" w:hAnsi="Times New Roman;serif"/>
          <w:b w:val="false"/>
          <w:color w:val="000000"/>
          <w:sz w:val="22"/>
        </w:rPr>
        <w:t>(xvii)(A) rights of consignors of goods, whether or not perfected by the filing of a financing statement under the Uniform Commercial Code, (B) Liens arising out of conditional sale, title retention, consignment, or similar arrangements for the sale of goods entered into by the Borrower or any of its Subsidiaries in the ordinary course of business and not prohibited by this Agreement, and (C) Liens arising by operation of Law under Article 2 of the Uniform Commercial Code in favor of a seller or buyer of goods;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6" w:name="i10e94e371209491f8a4e027025c62f91"/>
      <w:bookmarkEnd w:id="46"/>
      <w:r>
        <w:rPr>
          <w:rFonts w:ascii="Times New Roman;serif" w:hAnsi="Times New Roman;serif"/>
          <w:b w:val="false"/>
          <w:color w:val="000000"/>
          <w:sz w:val="22"/>
        </w:rPr>
        <w:t>(xviii)[reserved];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7" w:name="i227d10b466c5441282d01511d5936389"/>
      <w:bookmarkEnd w:id="47"/>
      <w:r>
        <w:rPr>
          <w:rFonts w:ascii="Times New Roman;serif" w:hAnsi="Times New Roman;serif"/>
          <w:b w:val="false"/>
          <w:color w:val="000000"/>
          <w:sz w:val="22"/>
        </w:rPr>
        <w:t>(xix)Liens deemed to exist in connection with Investments in repurchase agreements referred to in clause (iv) of the definition of “Permitted Investments”;</w:t>
      </w:r>
    </w:p>
    <w:p>
      <w:pPr>
        <w:pStyle w:val="TextBody"/>
        <w:bidi w:val="0"/>
        <w:spacing w:lineRule="auto" w:line="288" w:before="0" w:after="240"/>
        <w:jc w:val="left"/>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“Permitted Encumbrances” shall not include any Lien securing Indebtedness that consists of debt for borrowed money.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Equity Derivative</w:t>
      </w:r>
      <w:r>
        <w:rPr>
          <w:color w:val="000000"/>
        </w:rPr>
        <w:t xml:space="preserve">” </w:t>
      </w:r>
      <w:r>
        <w:rPr>
          <w:rFonts w:ascii="Times New Roman;serif" w:hAnsi="Times New Roman;serif"/>
          <w:b w:val="false"/>
          <w:color w:val="000000"/>
          <w:sz w:val="22"/>
        </w:rPr>
        <w:t xml:space="preserve">means any call or capped option (or substantively equivalent equity derivative transaction) or call spread transaction relating to the Capital Stock of the Borrower or any other Loan Party purchased by the Borrower or such Loan Party in connection with the issuance of Permitted Convertible Indebtedness by the Borrower or such other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purchase price for such call or capped option does not exceed the Net Cash Proceeds received by the Borrower or such other Loan Party from the issuance of such Permitted Convertible Indebtedness and the terms are otherwise customary for transactions of such type.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Investments</w:t>
      </w:r>
      <w:r>
        <w:rPr>
          <w:color w:val="000000"/>
        </w:rPr>
        <w:t xml:space="preserve">” </w:t>
      </w:r>
      <w:r>
        <w:rPr>
          <w:rFonts w:ascii="Times New Roman;serif" w:hAnsi="Times New Roman;serif"/>
          <w:b w:val="false"/>
          <w:color w:val="000000"/>
          <w:sz w:val="22"/>
        </w:rPr>
        <w:t>shall mean: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8" w:name="i5b345e3006534234808b4de4e6a8be1e"/>
      <w:bookmarkEnd w:id="48"/>
      <w:r>
        <w:rPr>
          <w:rFonts w:ascii="Times New Roman;serif" w:hAnsi="Times New Roman;serif"/>
          <w:b w:val="false"/>
          <w:color w:val="000000"/>
          <w:sz w:val="22"/>
        </w:rPr>
        <w:t>(i)direct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9" w:name="i0907f8bb785849ff8aa3cd0a68c97200"/>
      <w:bookmarkEnd w:id="49"/>
      <w:r>
        <w:rPr>
          <w:rFonts w:ascii="Times New Roman;serif" w:hAnsi="Times New Roman;serif"/>
          <w:b w:val="false"/>
          <w:color w:val="000000"/>
          <w:sz w:val="22"/>
        </w:rPr>
        <w:t>(ii)commercial paper having the highest rating, at the time of acquisition thereof, of S&amp;P or Moody’s and in either case maturing within six months from the date of acquisition thereof;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0" w:name="ib083ffbaf8c74d6baaf9cc89bdd793cd"/>
      <w:bookmarkEnd w:id="50"/>
      <w:r>
        <w:rPr>
          <w:rFonts w:ascii="Times New Roman;serif" w:hAnsi="Times New Roman;serif"/>
          <w:b w:val="false"/>
          <w:color w:val="000000"/>
          <w:sz w:val="22"/>
        </w:rPr>
        <w:t>(iii)certificates of deposit, bankers’ acceptances and time deposits maturing within 180 days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1" w:name="ic28d017aa48e4c41b12c6d2351cfd642"/>
      <w:bookmarkEnd w:id="51"/>
      <w:r>
        <w:rPr>
          <w:rFonts w:ascii="Times New Roman;serif" w:hAnsi="Times New Roman;serif"/>
          <w:b w:val="false"/>
          <w:color w:val="000000"/>
          <w:sz w:val="22"/>
        </w:rPr>
        <w:t xml:space="preserve">(iv)fully collateralized repurchase agreements with a term of not more than 30 days for securities described in clause (i) above and entered into with a financial institution satisfying the criteria described in clause (iii) above;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2" w:name="ie2b0618d21b74d179b66c0b146bdc8f7"/>
      <w:bookmarkEnd w:id="52"/>
      <w:r>
        <w:rPr>
          <w:rFonts w:ascii="Times New Roman;serif" w:hAnsi="Times New Roman;serif"/>
          <w:b w:val="false"/>
          <w:color w:val="000000"/>
          <w:sz w:val="22"/>
        </w:rPr>
        <w:t xml:space="preserve">(v)mutual funds investing solely in any one or more of the Permitted Investments described in clauses (i) through (iv) above;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3" w:name="i3211e354666e4018b24b875643167966"/>
      <w:bookmarkEnd w:id="53"/>
      <w:r>
        <w:rPr>
          <w:rFonts w:ascii="Times New Roman;serif" w:hAnsi="Times New Roman;serif"/>
          <w:b w:val="false"/>
          <w:color w:val="000000"/>
          <w:sz w:val="22"/>
        </w:rPr>
        <w:t>(vi)any similar investments approved in good faith by the board of directors of the Borrower as constituting cash equivalents; and</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036955"/>
                <wp:effectExtent l="0" t="0" r="0" b="0"/>
                <wp:wrapNone/>
                <wp:docPr id="167" name="Frame16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40" w:before="0" w:after="240"/>
        <w:ind w:left="0" w:right="0" w:firstLine="1440"/>
        <w:jc w:val="both"/>
        <w:rPr/>
      </w:pPr>
      <w:bookmarkStart w:id="54" w:name="i50e189fcd64a4934a59db226f8a42bfd"/>
      <w:bookmarkEnd w:id="54"/>
      <w:r>
        <w:rPr>
          <w:rFonts w:ascii="Times New Roman;serif" w:hAnsi="Times New Roman;serif"/>
          <w:b w:val="false"/>
          <w:color w:val="000000"/>
          <w:sz w:val="22"/>
        </w:rPr>
        <w:t xml:space="preserve">(vii)to the extent not otherwise covered by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(vi)</w:t>
      </w:r>
      <w:r>
        <w:rPr>
          <w:color w:val="000000"/>
        </w:rPr>
        <w:t xml:space="preserve"> </w:t>
      </w:r>
      <w:r>
        <w:rPr>
          <w:rFonts w:ascii="Times New Roman;serif" w:hAnsi="Times New Roman;serif"/>
          <w:b w:val="false"/>
          <w:color w:val="000000"/>
          <w:sz w:val="22"/>
        </w:rPr>
        <w:t>above, any other investments permitted under the Investment Policy.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Refinancing Indebtedness</w:t>
      </w:r>
      <w:r>
        <w:rPr>
          <w:color w:val="000000"/>
        </w:rPr>
        <w:t xml:space="preserve">” </w:t>
      </w:r>
      <w:r>
        <w:rPr>
          <w:rFonts w:ascii="Times New Roman;serif" w:hAnsi="Times New Roman;serif"/>
          <w:b w:val="false"/>
          <w:color w:val="000000"/>
          <w:sz w:val="22"/>
        </w:rPr>
        <w:t>means Indebtedness incurred by the Borrower or any of its Subsidiaries, which serves to extend, replace, refund, refinance, renew or defease any Indebtedness, so long as:</w:t>
      </w:r>
    </w:p>
    <w:p>
      <w:pPr>
        <w:pStyle w:val="TextBody"/>
        <w:bidi w:val="0"/>
        <w:spacing w:lineRule="auto" w:line="288" w:before="0" w:after="240"/>
        <w:ind w:left="0" w:right="0" w:hanging="360"/>
        <w:jc w:val="both"/>
        <w:rPr/>
      </w:pPr>
      <w:r>
        <w:rPr>
          <w:rFonts w:ascii="Times New Roman;serif" w:hAnsi="Times New Roman;serif"/>
          <w:b w:val="false"/>
          <w:color w:val="000000"/>
          <w:sz w:val="22"/>
        </w:rPr>
        <w:t>(a)the principal amount (or accreted value, if applicable) of such new Indebtedness does not exceed the principal amount of (or accreted value, if applicable), plus any accrued and unpaid interest on, the Indebtedness being so extended, replaced, refunded, refinanced, renewed or defeased (such Indebtedness, the “</w:t>
      </w:r>
      <w:r>
        <w:rPr>
          <w:rFonts w:ascii="Times New Roman;serif" w:hAnsi="Times New Roman;serif"/>
          <w:b w:val="false"/>
          <w:color w:val="000000"/>
          <w:sz w:val="22"/>
          <w:u w:val="single"/>
        </w:rPr>
        <w:t>Applicable Refinanced Debt</w:t>
      </w:r>
      <w:r>
        <w:rPr>
          <w:color w:val="000000"/>
        </w:rPr>
        <w:t>”</w:t>
      </w:r>
      <w:r>
        <w:rPr>
          <w:rFonts w:ascii="Times New Roman;serif" w:hAnsi="Times New Roman;serif"/>
          <w:b w:val="false"/>
          <w:color w:val="000000"/>
          <w:sz w:val="22"/>
        </w:rPr>
        <w:t xml:space="preserve">), plus the amount of any penalty or premium required to be paid under the terms of the instrument or documents governing such Applicable Refinanced Debt and any defeasance costs and any fees, expenses (including original issue discount, upfront fees or similar fees) and other costs incurred in connection with the issuance of such new Indebtedness or the extension, replacement, refunding, refinancing, renewal or defeasance of such Applicable Refinanced Debt;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(b)such Permitted Refinancing Indebtedness has a Weighted Average Life to Maturity at the time such Refinancing Indebtedness is incurred which is not less than the remaining Weighted Average Life to Maturity of the Indebtedness being extended, replaced, refunded, refinanced, renewed or defeased;</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(c)such Permitted Refinancing Indebtedness has a final scheduled maturity that is not earlier than 91 days after date set forth in clause (a)(i) of the definition of “Maturity Date” (or, if earlier, a date equal to or later than the final scheduled maturity date of the Indebtedness being so extended, replaced, refunded, refinanced, renewed or defeased);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2029 Convertible Notes, such maturity date shall be equal to or later than the date that is 91 days after the Maturity Date);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(d)to the extent such Permitted Refinancing Indebtedness extends, replaces, refunds, refinances, renews or defeases Indebtedness that is payment and/or lien subordinated to the Obligations, such Permitted Refinancing Indebtedness is subordinated to the Obligations at least to the same extent as the Indebtedness being extended, replaced, refunded, refinanced, renewed or defeased;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(e)Permitted Refinancing Indebtedness shall not include Indebtedness of a Subsidiary of the Borrower that is not a Guarantor that refinances Indebtedness of the Borrower or a Guarantor;</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(f)No Permitted Refinancing Indebtedness shall have different obligors, or greater guarantees or security, than the Indebtedness being refinanced;</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(g)if the Indebtedness being refinanced is secured by any Collateral (whether equally and ratably with, or junior to, the Secured Parties or otherwise), such Permitted Refinancing Indebtedness may be secured by such Collateral (including any collateral pursuant to after-acquired property clauses to the extent any such collateral would have secured the Indebtedness being so refinanced) on terms not materially less favorable to the Secured Parties than those contained in the documentation (including any intercreditor agreement) governing the Indebtedness being refinanced or on terms otherwise then permitted under </w:t>
      </w:r>
      <w:r>
        <w:rPr>
          <w:rFonts w:ascii="Times New Roman;serif" w:hAnsi="Times New Roman;serif"/>
          <w:b w:val="false"/>
          <w:color w:val="000000"/>
          <w:sz w:val="22"/>
          <w:u w:val="single"/>
        </w:rPr>
        <w:t>Section 7.1</w:t>
      </w:r>
      <w:r>
        <w:rPr>
          <w:rFonts w:ascii="Times New Roman;serif" w:hAnsi="Times New Roman;serif"/>
          <w:b w:val="false"/>
          <w:color w:val="000000"/>
          <w:sz w:val="22"/>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036955"/>
                <wp:effectExtent l="0" t="0" r="0" b="0"/>
                <wp:wrapNone/>
                <wp:docPr id="168" name="Frame16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(h)in the case of Incremental Equivalent Debt, contains all terms required by and no terms prohibited by the definition of Incremental Equivalent Debt.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shall mean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shall mean any “employee benefit plan” as defined in Section 3 of ERISA (other than a Multiemployer Plan) maintained or contributed to by the Borrower or any ERISA Affiliate or to which the Borrower or any ERISA Affiliate has or may have an obligation to contribute, and each such plan that is subject to Title IV of ERISA for the five-year period immediately following the latest date on which the Borrower or any ERISA Affiliate maintained, contributed to or had an obligation to contribute to (or is deemed under Section 4069 of ERISA to have maintained or contributed to or to have had an obligation to contribute to, or otherwise to have liability with respect to) such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shall mean Debt Domain, Intralinks, Syndtrak or a substantially similar electronic transmission system.</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Post-Maturity LC</w:t>
      </w:r>
      <w:r>
        <w:rPr>
          <w:color w:val="000000"/>
        </w:rPr>
        <w:t xml:space="preserve">” </w:t>
      </w:r>
      <w:r>
        <w:rPr>
          <w:rFonts w:ascii="Times New Roman;serif" w:hAnsi="Times New Roman;serif"/>
          <w:b w:val="false"/>
          <w:color w:val="000000"/>
          <w:sz w:val="22"/>
        </w:rPr>
        <w:t>shall mean any Letter of Credit that has an expiration date that is after the date set forth in clause (i) of the definition of “Revolving Commitment Termination Date”.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shall mean, (i) with respect to any Person, business, property or asset acquired in a Permitted Acquisition or other Acquisition permitted hereunder or otherwise approved in writing by the Required Lenders, the inclusion as “Consolidated EBITDA” of the Consolidated EBITDA for such Person, business, property or asset as if such Acquisition had been consummated on the first day of the applicable period, based on historical results accounted for in accordance with GAAP,</w:t>
      </w:r>
      <w:r>
        <w:rPr>
          <w:color w:val="000000"/>
        </w:rPr>
        <w:t xml:space="preserve"> </w:t>
      </w:r>
      <w:r>
        <w:rPr>
          <w:rFonts w:ascii="Times New Roman;serif" w:hAnsi="Times New Roman;serif"/>
          <w:b w:val="false"/>
          <w:color w:val="000000"/>
          <w:sz w:val="22"/>
        </w:rPr>
        <w:t>adjusted by (A) any credit received for acquisition-related costs and savings to the extent expressly permitted pursuant to Article 11 of Securities and Exchange Commission Regulation S-X as in effect prior to January 1, 2021 and (B) cost savings and synergies to the extent contemplated by (and subject to the limitation set forth in) clause (ii)(R) of the definition of Consolidated EBITDA, (ii) with respect to any Person, business, property or asset sold, transferred or otherwise disposed of, the exclusion from “Consolidated EBITDA” of the portion of Consolidated EBITDA for such Person, business, property or asset so disposed of during such period as if such disposition had been consummated on the first day of the applicable period, in accordance with GAAP and (iii) with respect to any incurrence or repayment of Indebtedness permitted hereunder or otherwise approved in writing by the Required Lenders (including, with respect to each Limited Condition Acquisition, and only during the period from and after the related definitive agreement for such acquisition is entered into and until the earlier of the consummation of such acquisition or the termination of such agreement, any Indebtedness contemplated to be incurred in connection with such Limited Condition Acquisition), the inclusion of Indebtedness (with respect to Indebtedness so incurred) or exclusion from Indebtedness (with respect to Indebtedness so repaid) in the amount of such incurrence or repayment, as applicable, as if such incurrence or repayment had been consummated on the first day of the applicable period, and if such Indebtedness has a floating or formula rate, such Indebtedness shall have an implied rate of interest for the applicable period for purposes of this definition determined by utilizing the rate which is or would be in effect with respect to such Indebtedness as at the relevant date of determination (taking into account any hedging obligations applicable to such Indebtedness if such hedging obligation has a remaining term in excess of twelve (12) months).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 Rata Share</w:t>
      </w:r>
      <w:r>
        <w:rPr>
          <w:color w:val="000000"/>
        </w:rPr>
        <w:t xml:space="preserve">” </w:t>
      </w:r>
      <w:r>
        <w:rPr>
          <w:rFonts w:ascii="Times New Roman;serif" w:hAnsi="Times New Roman;serif"/>
          <w:b w:val="false"/>
          <w:color w:val="000000"/>
          <w:sz w:val="22"/>
        </w:rPr>
        <w:t xml:space="preserve">shall mean (i) with respect to any Class of Commitment or Loan of any Lender at any time, a percentage, the numerator of which shall be such Lender’s Commitment of such Class (or if such Commitment has been terminated or expired or the Loans have been declared to be due and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036955"/>
                <wp:effectExtent l="0" t="0" r="0" b="0"/>
                <wp:wrapNone/>
                <wp:docPr id="169" name="Frame16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Lender’s Revolving Credit Exposure or Term Loan, as applicable), and the denominator of which shall be the sum of all Commitments of such Class of all Lenders (or if such Commitments have been terminated or expired or the Loans have been declared to be due and payable, all Revolving Credit Exposure or Term Loans, as applicable, of all Lenders) and (ii) with respect to all Classes of Commitments and Loans of any Lender at any time, the numerator of which shall be the sum of such Lender’s Revolving Commitment (or if such Revolving Commitment has been terminated or expired or the Loans have been declared to be due and payable, such Lender’s Revolving Credit Exposure) and Term Loan and the denominator of which shall be the sum of all Lenders’ Revolving Commitments (or if such Revolving Commitments have been terminated or expired or the Loans have been declared to be due and payable, all Revolving Credit Exposure of all Lenders funded under such Commitments) and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shall mean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Capital Stock</w:t>
      </w:r>
      <w:r>
        <w:rPr>
          <w:color w:val="000000"/>
        </w:rPr>
        <w:t xml:space="preserve">” </w:t>
      </w:r>
      <w:r>
        <w:rPr>
          <w:rFonts w:ascii="Times New Roman;serif" w:hAnsi="Times New Roman;serif"/>
          <w:b w:val="false"/>
          <w:color w:val="000000"/>
          <w:sz w:val="22"/>
        </w:rPr>
        <w:t>shall mean, with respect to any Person, any Capital Stock of such Person that is not Disqualified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Cash</w:t>
      </w:r>
      <w:r>
        <w:rPr>
          <w:color w:val="000000"/>
        </w:rPr>
        <w:t xml:space="preserve">” </w:t>
      </w:r>
      <w:r>
        <w:rPr>
          <w:rFonts w:ascii="Times New Roman;serif" w:hAnsi="Times New Roman;serif"/>
          <w:b w:val="false"/>
          <w:color w:val="000000"/>
          <w:sz w:val="22"/>
        </w:rPr>
        <w:t>shall mean</w:t>
      </w:r>
      <w:r>
        <w:rPr>
          <w:color w:val="000000"/>
        </w:rPr>
        <w:t xml:space="preserve"> </w:t>
      </w:r>
      <w:r>
        <w:rPr>
          <w:rFonts w:ascii="Times New Roman;serif" w:hAnsi="Times New Roman;serif"/>
          <w:b w:val="false"/>
          <w:color w:val="000000"/>
          <w:sz w:val="22"/>
        </w:rPr>
        <w:t xml:space="preserve">the aggregate amount of the Borrower’s and its Subsidiaries’ unrestricted cash and Permitted Investments;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r>
        <w:rPr>
          <w:rFonts w:ascii="Times New Roman;serif" w:hAnsi="Times New Roman;serif"/>
          <w:b w:val="false"/>
          <w:color w:val="000000"/>
          <w:sz w:val="22"/>
          <w:shd w:fill="FFFFFF" w:val="clear"/>
        </w:rPr>
        <w:t>cash and Permitted Investments</w:t>
      </w:r>
      <w:r>
        <w:rPr>
          <w:color w:val="000000"/>
        </w:rPr>
        <w:t xml:space="preserve"> </w:t>
      </w:r>
      <w:r>
        <w:rPr>
          <w:rFonts w:ascii="Times New Roman;serif" w:hAnsi="Times New Roman;serif"/>
          <w:b w:val="false"/>
          <w:color w:val="000000"/>
          <w:sz w:val="22"/>
          <w:shd w:fill="FFFFFF" w:val="clear"/>
        </w:rPr>
        <w:t xml:space="preserve">securing the Obligations and other Indebtedness permitted hereunder that is secured by a Lien on the Collateral on a </w:t>
      </w:r>
      <w:r>
        <w:rPr>
          <w:rFonts w:ascii="Times New Roman;serif" w:hAnsi="Times New Roman;serif"/>
          <w:b w:val="false"/>
          <w:i/>
          <w:color w:val="000000"/>
          <w:sz w:val="22"/>
          <w:shd w:fill="FFFFFF" w:val="clear"/>
        </w:rPr>
        <w:t>pari passu</w:t>
      </w:r>
      <w:r>
        <w:rPr>
          <w:color w:val="000000"/>
          <w:shd w:fill="FFFFFF" w:val="clear"/>
        </w:rPr>
        <w:t xml:space="preserve"> </w:t>
      </w:r>
      <w:r>
        <w:rPr>
          <w:rFonts w:ascii="Times New Roman;serif" w:hAnsi="Times New Roman;serif"/>
          <w:b w:val="false"/>
          <w:color w:val="000000"/>
          <w:sz w:val="22"/>
          <w:shd w:fill="FFFFFF" w:val="clear"/>
        </w:rPr>
        <w:t>or junior basis to the Obligations shall be deemed to be unrestricted for purposes of calculating Qualified Cash</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Real Estate</w:t>
      </w:r>
      <w:r>
        <w:rPr>
          <w:color w:val="000000"/>
        </w:rPr>
        <w:t xml:space="preserve">” </w:t>
      </w:r>
      <w:r>
        <w:rPr>
          <w:rFonts w:ascii="Times New Roman;serif" w:hAnsi="Times New Roman;serif"/>
          <w:b w:val="false"/>
          <w:color w:val="000000"/>
          <w:sz w:val="22"/>
        </w:rPr>
        <w:t>shall mean all real property owned or leased by the Borrower and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Real Estate Documents</w:t>
      </w:r>
      <w:r>
        <w:rPr>
          <w:color w:val="000000"/>
        </w:rPr>
        <w:t xml:space="preserve">” </w:t>
      </w:r>
      <w:r>
        <w:rPr>
          <w:rFonts w:ascii="Times New Roman;serif" w:hAnsi="Times New Roman;serif"/>
          <w:b w:val="false"/>
          <w:color w:val="000000"/>
          <w:sz w:val="22"/>
        </w:rPr>
        <w:t xml:space="preserve">shall mean, collectively, (i) Mortgages covering all Material Real Estate owned by the Loan Parties, duly executed and notarized by each applicable Loan Party, and in proper form for recording in the appropriate land records, together with, (ii) as to each such Mortgaged Property (A) a title insurance policy in favor of the Administrative Agent insuring the Mortgage on such Mortgaged Property creates a first priority mortgage lien on such Mortgaged Property, subject to Permitted Encumbrances, including such endorsements thereto as are reasonably requested by the Administrative Agent, an ALTA/ACSM Land Title survey that accurately depicts such Mortgaged Property and certified to Administrative Agent, and a zoning report, all reasonably satisfactory in form and substance to the Administrative Agent, (B) (x) a Life of Loan” Federal Emergency Management Agency Standard Flood Hazard Determination, (y) to the extent required by Flood Insurance Laws, notices, in the form required under the Flood Insurance Laws, about special flood hazard area status and flood disaster assistance duly executed by the applicable Loan Party, and (z) if such Mortgaged Property contains buildings located in a special flood hazard area, a policy of flood insurance that complies with the requirements of the Flood Insurance Laws, (C) an opinion of counsel in the state in which such Mortgaged Property is located in form and substance and from counsel reasonably satisfactory to the Administrative Agent, (D) a duly executed Environmental Indemnity with respect thereto, (E) a Phase I Environmental Site Assessment Report, consistent with American Society of Testing and Materials (ASTM) Standard E 1527-21, on such Mortgaged Property, dated no more than six (6) months prior to the Closing Date (or date of the applicable Mortgage if provided post-closing), prepared by an environmental engineer reasonably satisfactory to the Administrative Agent, together with, if applicable, such environmental review and audit reports, including Phase II reports, with respect to such Mortgaged Property as the Administrative Agent shall have reasonably requested, as well as a letter executed by the environmental firm preparing such environmental report, in form and substance reasonably satisfactory to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036955"/>
                <wp:effectExtent l="0" t="0" r="0" b="0"/>
                <wp:wrapNone/>
                <wp:docPr id="170" name="Frame16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authorizing the Administrative Agent and the Lenders to rely on such reports, (F) if required by any regulatory regime over the Administrative Agent, an appraisal, dated not earlier than such time period as is required by such regulatory regime over the Administrative Agent, relating to such Mortgaged Property (to the extent the Administrative Agent has not itself obtained such an appraisal) and (G) such other reports, documents, instruments and agreements as the Administrative Agent shall reasonably request, each in form and substance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shall mean, as applicable, (a) the Administrative Agent, (b) any Lender or (c) the Issuing Banks.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Refinancing Amendment</w:t>
      </w:r>
      <w:r>
        <w:rPr>
          <w:color w:val="000000"/>
        </w:rPr>
        <w:t xml:space="preserve">” </w:t>
      </w:r>
      <w:r>
        <w:rPr>
          <w:rFonts w:ascii="Times New Roman;serif" w:hAnsi="Times New Roman;serif"/>
          <w:b w:val="false"/>
          <w:color w:val="000000"/>
          <w:sz w:val="22"/>
        </w:rPr>
        <w:t xml:space="preserve">shall mean an amendment to this Agreement in form and substance reasonably satisfactory to the Administrative Agent and the Borrower executed by each of (a) the Borrower, (b) the Administrative Agent, (c) each Issuing Bank (in the case of Other Refinancing Revolving Commitments or Other Refinancing Revolving Loans) and (d) each Refinancing Lender and Lender that agrees to provide any portion of the Credit Agreement Refinancing Indebtedness being incurred pursuant thereto, in accordance with </w:t>
      </w:r>
      <w:r>
        <w:rPr>
          <w:rFonts w:ascii="Times New Roman;serif" w:hAnsi="Times New Roman;serif"/>
          <w:b w:val="false"/>
          <w:color w:val="000000"/>
          <w:sz w:val="22"/>
          <w:u w:val="single"/>
        </w:rPr>
        <w:t>Section 2.28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Refinancing Lender</w:t>
      </w:r>
      <w:r>
        <w:rPr>
          <w:color w:val="000000"/>
        </w:rPr>
        <w:t xml:space="preserve">” </w:t>
      </w:r>
      <w:r>
        <w:rPr>
          <w:rFonts w:ascii="Times New Roman;serif" w:hAnsi="Times New Roman;serif"/>
          <w:b w:val="false"/>
          <w:color w:val="000000"/>
          <w:sz w:val="22"/>
        </w:rPr>
        <w:t xml:space="preserve">shall mean, at any time, any bank, other financial institution or institutional investor that agrees to provide any portion of any Credit Agreement Refinancing Indebtedness pursuant to a Refinancing Amendment in accordance with </w:t>
      </w:r>
      <w:r>
        <w:rPr>
          <w:rFonts w:ascii="Times New Roman;serif" w:hAnsi="Times New Roman;serif"/>
          <w:b w:val="false"/>
          <w:color w:val="000000"/>
          <w:sz w:val="22"/>
          <w:u w:val="single"/>
        </w:rPr>
        <w:t>Section 2.28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Refinancing Lender (other than any Person that is a Lender, an Affiliate of a Lender or an Approved Fund of a Lender at such time) shall be subject to the approval of the Administrative Agent and each Issuing Bank (in the case of Other Refinancing Revolving Commitments or Other Refinancing Revolving Loans) (such approval not to be unreasonably withheld or delayed), in each case to the extent any such consent would be required from the Administrative Agent and each Issuing Bank (in the case of Other Refinancing Revolving Commitments or Other Refinancing Revolving Loans) under </w:t>
      </w:r>
      <w:r>
        <w:rPr>
          <w:rFonts w:ascii="Times New Roman;serif" w:hAnsi="Times New Roman;serif"/>
          <w:b w:val="false"/>
          <w:color w:val="000000"/>
          <w:sz w:val="22"/>
          <w:u w:val="single"/>
        </w:rPr>
        <w:t>Section 10.4(b)</w:t>
      </w:r>
      <w:r>
        <w:rPr>
          <w:color w:val="000000"/>
        </w:rPr>
        <w:t xml:space="preserve"> </w:t>
      </w:r>
      <w:r>
        <w:rPr>
          <w:rFonts w:ascii="Times New Roman;serif" w:hAnsi="Times New Roman;serif"/>
          <w:b w:val="false"/>
          <w:color w:val="000000"/>
          <w:sz w:val="22"/>
        </w:rPr>
        <w:t>for an assignment of Loans or Commitments to such Refinancing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shall mean Regulation D of the Federal Reserve Board, as the same may be in effect from time to time, and any successor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T</w:t>
      </w:r>
      <w:r>
        <w:rPr>
          <w:color w:val="000000"/>
        </w:rPr>
        <w:t xml:space="preserve">” </w:t>
      </w:r>
      <w:r>
        <w:rPr>
          <w:rFonts w:ascii="Times New Roman;serif" w:hAnsi="Times New Roman;serif"/>
          <w:b w:val="false"/>
          <w:color w:val="000000"/>
          <w:sz w:val="22"/>
        </w:rPr>
        <w:t>shall mean Regulation T of the Federal Reserve Board, as the same may be in effect from time to time, and any successor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shall mean Regulation U of the Federal Reserve Board, as the same may be in effect from time to time, and any successor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X</w:t>
      </w:r>
      <w:r>
        <w:rPr>
          <w:color w:val="000000"/>
        </w:rPr>
        <w:t xml:space="preserve">” </w:t>
      </w:r>
      <w:r>
        <w:rPr>
          <w:rFonts w:ascii="Times New Roman;serif" w:hAnsi="Times New Roman;serif"/>
          <w:b w:val="false"/>
          <w:color w:val="000000"/>
          <w:sz w:val="22"/>
        </w:rPr>
        <w:t>shall mean Regulation X of the Federal Reserve Board, as the same may be in effect from time to time, and any successor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Y</w:t>
      </w:r>
      <w:r>
        <w:rPr>
          <w:color w:val="000000"/>
        </w:rPr>
        <w:t xml:space="preserve">” </w:t>
      </w:r>
      <w:r>
        <w:rPr>
          <w:rFonts w:ascii="Times New Roman;serif" w:hAnsi="Times New Roman;serif"/>
          <w:b w:val="false"/>
          <w:color w:val="000000"/>
          <w:sz w:val="22"/>
        </w:rPr>
        <w:t>shall mean Regulation Y of the Federal Reserve Board, as the same may be in effect from time to time, and any successor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Regulatory Authority</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4.22(a)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shall mean, with respect to any specified Person, such Person’s Affiliates and the respective managers, administrators, trustees, partners, directors, officers, employees, agents, advisors or other representatives of such Person and such Person’s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036955"/>
                <wp:effectExtent l="0" t="0" r="0" b="0"/>
                <wp:wrapNone/>
                <wp:docPr id="171" name="Frame16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shall mean the Federal Reserve Board and/or the Federal Reserve Bank of New York, or a committee officially endorsed or convened by the Federal Reserve Board and/or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Delayed Draw Term Loan Lenders</w:t>
      </w:r>
      <w:r>
        <w:rPr>
          <w:color w:val="000000"/>
        </w:rPr>
        <w:t xml:space="preserve">” </w:t>
      </w:r>
      <w:r>
        <w:rPr>
          <w:rFonts w:ascii="Times New Roman;serif" w:hAnsi="Times New Roman;serif"/>
          <w:b w:val="false"/>
          <w:color w:val="000000"/>
          <w:sz w:val="22"/>
        </w:rPr>
        <w:t xml:space="preserve">shall mean, at any time, Delayed Draw Term Lenders holding more than 50% of the aggregate outstanding Delayed Draw Term Loan Commitments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any Delayed Draw Term Lender is a Defaulting Lender, such Defaulting Lender and all of its Delayed Draw Term Loan Commitments shall be excluded for purposes of determining Required Delayed Draw Term Loan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if there are two (2) or more unaffiliated Lenders, then Required Delayed Draw Term Loan Lenders must include at least two (2) unaffiliated Lenders (treating each Lender that is an Affiliate or Approved Fund of another Lender as a single Lender for purposes of this proviso).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shall mean, at any time, Lenders holding more than 50% of the aggregate outstanding Commitments and Term Loans at such time or, if the Lenders have no Commitments outstanding, then Lenders holding more than 50% of the aggregate outstanding Revolving Credit Exposure and Term Loans of the Lenders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any Lender is a Defaulting Lender, such Defaulting Lender and all of its Revolving Commitments, Revolving Credit Exposure and Term Loans shall be excluded for purposes of determining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there are two (2) or more unaffiliated Lenders, then Required Lenders must include at least two (2) unaffiliated Lenders (treating each Lender that is an Affiliate or Approved Fund of another Lender as a single Lender for purposes of this proviso).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Revolving Lenders</w:t>
      </w:r>
      <w:r>
        <w:rPr>
          <w:color w:val="000000"/>
        </w:rPr>
        <w:t xml:space="preserve">” </w:t>
      </w:r>
      <w:r>
        <w:rPr>
          <w:rFonts w:ascii="Times New Roman;serif" w:hAnsi="Times New Roman;serif"/>
          <w:b w:val="false"/>
          <w:color w:val="000000"/>
          <w:sz w:val="22"/>
        </w:rPr>
        <w:t xml:space="preserve">shall mean, at any time, Revolving Lenders holding more than 50% of the aggregate outstanding Revolving Commitments at such time or, if the Lenders have no Revolving Commitments outstanding, then Revolving Lenders holding more than 50% of the aggregate Revolving Credit Exposure;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any Revolving Lender is a Defaulting Lender, such Defaulting Lender and all of its Revolving Commitments and Revolving Credit Exposure shall be excluded for purposes of determining Required Revolving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there are two (2) or more unaffiliated Lenders, then Required Revolving Lenders must include at least two (2) unaffiliated Lenders (treating each Lender that is an Affiliate or Approved Fund of another Lender as a single Lender for purposes of this proviso).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Requirement of Law</w:t>
      </w:r>
      <w:r>
        <w:rPr>
          <w:color w:val="000000"/>
        </w:rPr>
        <w:t xml:space="preserve">” </w:t>
      </w:r>
      <w:r>
        <w:rPr>
          <w:rFonts w:ascii="Times New Roman;serif" w:hAnsi="Times New Roman;serif"/>
          <w:b w:val="false"/>
          <w:color w:val="000000"/>
          <w:sz w:val="22"/>
        </w:rPr>
        <w:t>for any Person shall mean the articles or certificate of incorporation,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 including all Healthcare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 xml:space="preserve">shall mean (x) with respect to certifying compliance with the financial covenants set forth in </w:t>
      </w:r>
      <w:r>
        <w:rPr>
          <w:rFonts w:ascii="Times New Roman;serif" w:hAnsi="Times New Roman;serif"/>
          <w:b w:val="false"/>
          <w:color w:val="000000"/>
          <w:sz w:val="22"/>
          <w:u w:val="single"/>
        </w:rPr>
        <w:t>Article V</w:t>
      </w:r>
      <w:r>
        <w:rPr>
          <w:rFonts w:ascii="Times New Roman;serif" w:hAnsi="Times New Roman;serif"/>
          <w:b w:val="false"/>
          <w:color w:val="000000"/>
          <w:sz w:val="22"/>
        </w:rPr>
        <w:t xml:space="preserve">I, any of the chief financial officer, the treasurer or the vice president of finance of the Borrower and (y) with respect to all other provisions, any of the executive chairman, the president, the chief executive officer, the chief operating officer, the chief financial officer, the treasurer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036955"/>
                <wp:effectExtent l="0" t="0" r="0" b="0"/>
                <wp:wrapNone/>
                <wp:docPr id="172" name="Frame17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the vice president of finance of the Borrower or such other representative of the Borrower as may be designated in writing by any one of the foregoing with the consent of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shall mean, for any Person, </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(a)any dividend or other distribution, direct or indirect, on account of any shares of any class of Capital Stock of such Person; </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(b)any redemption, retirement, sinking fund or similar payment, purchase or other acquisition for value, direct or indirect, of any shares of any class of Capital Stock of such Person now or hereafter outstanding; </w:t>
      </w:r>
    </w:p>
    <w:p>
      <w:pPr>
        <w:pStyle w:val="TextBody"/>
        <w:bidi w:val="0"/>
        <w:spacing w:lineRule="auto" w:line="288" w:before="0" w:after="2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(c)any payment made to retire, or to obtain the surrender of, any outstanding warrants, options or other rights to acquire shares of any class of Capital Stock of such Person now or hereafter outstanding (in each case, excluding debt securities convertible to, or exchangeable for, any of the foregoing);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(d)any payment on account of Indebtedness that is subordinated in right of payment to the Obligations or on account of any Guarantee thereof; and</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(e)any payment on account of the 2029 Convertible Notes or any other Permitted Convertible Indebtedness.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shall mean, with respect to each Revolving Lender, the commitment of such Lender to make Revolving Loans to the Borrower and to acquire participations in Letters of Credit and Swingline Loans in an aggregate principal amount not exceeding the amount set forth with respect to such Lender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under the column “Revolving Commitment”, as such schedule may be amended pursuant to </w:t>
      </w:r>
      <w:r>
        <w:rPr>
          <w:rFonts w:ascii="Times New Roman;serif" w:hAnsi="Times New Roman;serif"/>
          <w:b w:val="false"/>
          <w:color w:val="000000"/>
          <w:sz w:val="22"/>
          <w:u w:val="single"/>
        </w:rPr>
        <w:t>Section 2.23</w:t>
      </w:r>
      <w:r>
        <w:rPr>
          <w:rFonts w:ascii="Times New Roman;serif" w:hAnsi="Times New Roman;serif"/>
          <w:b w:val="false"/>
          <w:color w:val="000000"/>
          <w:sz w:val="22"/>
        </w:rPr>
        <w:t>, or, in the case of a Person becoming a Revolving Lender after the Closing Date, the amount of the assigned “Revolving Commitment” as provided in the Assignment and Acceptance executed by such Person as an assignee, or the joinder executed by such Person, in each case as such commitment may subsequently be increased or decreased pursuant to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Commitment Termination Date</w:t>
      </w:r>
      <w:r>
        <w:rPr>
          <w:color w:val="000000"/>
        </w:rPr>
        <w:t xml:space="preserve">” </w:t>
      </w:r>
      <w:r>
        <w:rPr>
          <w:rFonts w:ascii="Times New Roman;serif" w:hAnsi="Times New Roman;serif"/>
          <w:b w:val="false"/>
          <w:color w:val="000000"/>
          <w:sz w:val="22"/>
        </w:rPr>
        <w:t>shall mean (a) with respect to the Revolving Commitments established on the Closing Date, the earliest of (i) December 23,</w:t>
      </w:r>
      <w:r>
        <w:rPr>
          <w:color w:val="000000"/>
        </w:rPr>
        <w:t xml:space="preserve"> </w:t>
      </w:r>
      <w:r>
        <w:rPr>
          <w:rFonts w:ascii="Times New Roman;serif" w:hAnsi="Times New Roman;serif"/>
          <w:b w:val="false"/>
          <w:color w:val="000000"/>
          <w:sz w:val="22"/>
        </w:rPr>
        <w:t xml:space="preserve">2030, (ii) the Springing Maturity Date if the Springing Maturity Date Trigger has occurred, (iii) the date on which such Revolving Commitments are terminated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and (iv) the date on which all amounts outstanding under this Agreement have been declared or have automatically become due and payable (whether by acceleration or otherwise) and (b) with respect to any Extended Revolving Commitments or Other Revolving Refinancing Revolving Commitments, the earliest of (i) the date specified therefor in the Extended Facility Agreement or Refinancing Amendment applicable thereto</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(ii) the date on which such Revolving Commitments are terminated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and (iii) the date on which all amounts outstanding under this Agreement have been declared or have automatically become due and payable (whether by acceleration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shall mean, with respect to any Revolving Lender at any time, the sum of the outstanding principal amount of such Lender’s Revolving Loans, LC Exposure and Swingline Exposure.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Lender</w:t>
      </w:r>
      <w:r>
        <w:rPr>
          <w:color w:val="000000"/>
        </w:rPr>
        <w:t xml:space="preserve">” </w:t>
      </w:r>
      <w:r>
        <w:rPr>
          <w:rFonts w:ascii="Times New Roman;serif" w:hAnsi="Times New Roman;serif"/>
          <w:b w:val="false"/>
          <w:color w:val="000000"/>
          <w:sz w:val="22"/>
        </w:rPr>
        <w:t>shall mean each Lender that holds a Revolving Commitment.</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036955"/>
                <wp:effectExtent l="0" t="0" r="0" b="0"/>
                <wp:wrapNone/>
                <wp:docPr id="173" name="Frame17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shall mean a loan made by a Revolving Lender (other than the Swingline Lender) to the Borrower under its Revolving Commitment, which may be either a Base Rate Loan or a SOFR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shall mean S&amp;P Global Ratings, a division of S&amp;P Global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Sales-Based Obligations</w:t>
      </w:r>
      <w:r>
        <w:rPr>
          <w:color w:val="000000"/>
        </w:rPr>
        <w:t xml:space="preserve">” </w:t>
      </w:r>
      <w:r>
        <w:rPr>
          <w:rFonts w:ascii="Times New Roman;serif" w:hAnsi="Times New Roman;serif"/>
          <w:b w:val="false"/>
          <w:color w:val="000000"/>
          <w:sz w:val="22"/>
        </w:rPr>
        <w:t>shall mean (a) the Ironshore Royalty Obligations and (b) any milestone or royalty payment obligations made by a Loan Party to any Person that are structured based on sales (as opposed to any milestone or royalty payment obligations required to be reported as debt, which shall not constitute a Sales-Based Obligation).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shall mean, at any time, a country, region or territory that is, or whose government is, the subject or target of any Sanctions, which as of the Closing Date, includes the so-called Donetsk People’s Republic, the so-called Luhansk People’s Republic and the Crimea, Zaporizhzhia and Kherson Regions of Ukraine, Cuba, Iran, North Korea and Syria.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shall mean, at any time, (a) any Person that is the subject or target of any Sanctions, (b) any Person located, organized, operating or resident in a Sanctioned Country or (c) any Person owned or controlled by any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shall mean economic or financial sanctions or trade embargoes imposed, administered or enforced from time to time by (a) the U.S. government, including those administered by OFAC or the U.S. Department of State, (b) the United Nations Security Council, the European Union, any European Union member state or His Majesty’s Treasury of the United Kingdom or (c) any other relevant sanctions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shall mean the Administrative Agent, the Lenders, the Issuing Banks, the Lender-Related Hedge Providers and the Bank Product Providers.</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 xml:space="preserve">shall mean a rate per annum equal to the secured overnight financing rate as administered by the SOFR Administrator. </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shall mean the Federal Reserve Bank of New York (or a successor administrator of the secured overnight financing rate).</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SOFR Borrowing</w:t>
      </w:r>
      <w:r>
        <w:rPr>
          <w:color w:val="000000"/>
        </w:rPr>
        <w:t xml:space="preserve">” </w:t>
      </w:r>
      <w:r>
        <w:rPr>
          <w:rFonts w:ascii="Times New Roman;serif" w:hAnsi="Times New Roman;serif"/>
          <w:b w:val="false"/>
          <w:color w:val="000000"/>
          <w:sz w:val="22"/>
        </w:rPr>
        <w:t xml:space="preserve">shall mean a Borrowing that bears interest at a rate based on Term SOFR, other than pursuant to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of the definition of “Base Rate”.</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SOFR Loan</w:t>
      </w:r>
      <w:r>
        <w:rPr>
          <w:color w:val="000000"/>
        </w:rPr>
        <w:t xml:space="preserve">” </w:t>
      </w:r>
      <w:r>
        <w:rPr>
          <w:rFonts w:ascii="Times New Roman;serif" w:hAnsi="Times New Roman;serif"/>
          <w:b w:val="false"/>
          <w:color w:val="000000"/>
          <w:sz w:val="22"/>
        </w:rPr>
        <w:t xml:space="preserve">shall mean a Loan that bears interest at a rate based on Term SOFR, other than pursuant to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of the definition of “Base Rate”.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 xml:space="preserve">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36955"/>
                <wp:effectExtent l="0" t="0" r="0" b="0"/>
                <wp:wrapNone/>
                <wp:docPr id="174" name="Frame17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guaranties and pension plan liabilities) at any time shall be computed as the amount that, in light of all the facts and circumstances existing at the time, represents the amount that would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Specified Event of Default</w:t>
      </w:r>
      <w:r>
        <w:rPr>
          <w:color w:val="000000"/>
        </w:rPr>
        <w:t xml:space="preserve">” </w:t>
      </w:r>
      <w:r>
        <w:rPr>
          <w:rFonts w:ascii="Times New Roman;serif" w:hAnsi="Times New Roman;serif"/>
          <w:b w:val="false"/>
          <w:color w:val="000000"/>
          <w:sz w:val="22"/>
        </w:rPr>
        <w:t xml:space="preserve">shall mean an Event of Default under </w:t>
      </w:r>
      <w:r>
        <w:rPr>
          <w:rFonts w:ascii="Times New Roman;serif" w:hAnsi="Times New Roman;serif"/>
          <w:b w:val="false"/>
          <w:color w:val="000000"/>
          <w:sz w:val="22"/>
          <w:u w:val="single"/>
        </w:rPr>
        <w:t>Section 8.1(a)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Springing Maturity Date</w:t>
      </w:r>
      <w:r>
        <w:rPr>
          <w:color w:val="000000"/>
        </w:rPr>
        <w:t xml:space="preserve">” </w:t>
      </w:r>
      <w:r>
        <w:rPr>
          <w:rFonts w:ascii="Times New Roman;serif" w:hAnsi="Times New Roman;serif"/>
          <w:b w:val="false"/>
          <w:color w:val="000000"/>
          <w:sz w:val="22"/>
        </w:rPr>
        <w:t>shall mean November 18, 2028.</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Springing Maturity Date Trigger</w:t>
      </w:r>
      <w:r>
        <w:rPr>
          <w:color w:val="000000"/>
        </w:rPr>
        <w:t xml:space="preserve">” </w:t>
      </w:r>
      <w:r>
        <w:rPr>
          <w:rFonts w:ascii="Times New Roman;serif" w:hAnsi="Times New Roman;serif"/>
          <w:b w:val="false"/>
          <w:color w:val="000000"/>
          <w:sz w:val="22"/>
        </w:rPr>
        <w:t xml:space="preserve">shall mean the occurrence, as of November 18, 2028, of (a) Liquidity being less than $350,000,000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any permanent prepayments or repurchases of the 2029 Convertible Notes and (b) the outstanding principal amount of the 2029 Convertible Notes being more than $50,000,000.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Subject Transaction</w:t>
      </w:r>
      <w:r>
        <w:rPr>
          <w:color w:val="000000"/>
        </w:rPr>
        <w:t xml:space="preserve">” </w:t>
      </w:r>
      <w:r>
        <w:rPr>
          <w:rFonts w:ascii="Times New Roman;serif" w:hAnsi="Times New Roman;serif"/>
          <w:b w:val="false"/>
          <w:color w:val="000000"/>
          <w:sz w:val="22"/>
        </w:rPr>
        <w:t>shall mean (a) any Permitted Acquisition or other Acquisition permitted hereunder (or consented to by the Required Lenders), (b) any sale, transfer or disposition of the Borrower or any Subsidiary of the Borrower or any business, property or asset thereof or (c) any incurrence or repayment, retirement, redemption, satisfaction and discharge or defeasance of Indebtedness ((i) excluding (x) Indebtedness incurred for working capital purposes other than pursuant to this Agreement and (y) Indebtedness repaid under any revolving credit facility or line of credit unless such Indebtedness has been permanently repaid and the commitments in respect thereof have been permanently reduced on a dollar-for dollar basis, and not replaced, and (ii) including any contemplated incurrence of Indebtedness in connection with a Limited Condition Acquisition, unless and to the extent such Limited Condition Acquisition has been consummated without any such contemplated Indebtedness or the definitive agreement for such Limited Condition Acquisition has been terminated), including Disqualified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shall mean, with respect to any Person (the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xml:space="preserve">)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indicated, all references to “Subsidiary” hereunder shall mean a Subsidiary of the Borrower.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 Loan Party</w:t>
      </w:r>
      <w:r>
        <w:rPr>
          <w:color w:val="000000"/>
        </w:rPr>
        <w:t xml:space="preserve">” </w:t>
      </w:r>
      <w:r>
        <w:rPr>
          <w:rFonts w:ascii="Times New Roman;serif" w:hAnsi="Times New Roman;serif"/>
          <w:b w:val="false"/>
          <w:color w:val="000000"/>
          <w:sz w:val="22"/>
        </w:rPr>
        <w:t>shall mean any Subsidiary that executes or becomes a party to the Guaranty and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shall mean, with respect to any Guarantor, any obligation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 xml:space="preserve">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clause (a), the amount(s) determined as the mark-to-market value(s) for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036955"/>
                <wp:effectExtent l="0" t="0" r="0" b="0"/>
                <wp:wrapNone/>
                <wp:docPr id="175" name="Frame17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Hedging Transactions, as determined based upon one or more mid-market or other readily available quotations provided by any recognized dealer in such Hedging Transactions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Swingline Commitment</w:t>
      </w:r>
      <w:r>
        <w:rPr>
          <w:color w:val="000000"/>
        </w:rPr>
        <w:t xml:space="preserve">” </w:t>
      </w:r>
      <w:r>
        <w:rPr>
          <w:rFonts w:ascii="Times New Roman;serif" w:hAnsi="Times New Roman;serif"/>
          <w:b w:val="false"/>
          <w:color w:val="000000"/>
          <w:sz w:val="22"/>
        </w:rPr>
        <w:t>shall mean the commitment of the Swingline Lender to make Swingline Loans in an aggregate principal amount at any time outstanding not to exceed $20,000,000.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Swingline Exposure</w:t>
      </w:r>
      <w:r>
        <w:rPr>
          <w:color w:val="000000"/>
        </w:rPr>
        <w:t xml:space="preserve">” </w:t>
      </w:r>
      <w:r>
        <w:rPr>
          <w:rFonts w:ascii="Times New Roman;serif" w:hAnsi="Times New Roman;serif"/>
          <w:b w:val="false"/>
          <w:color w:val="000000"/>
          <w:sz w:val="22"/>
        </w:rPr>
        <w:t xml:space="preserve">shall mean, with respect to each Revolving Lender, the principal amount of the Swingline Loans in which such Lender is legally obligated either to make a Base Rate Loan or to purchase a participation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 which shall equal such Lender’s Pro Rata Share of all outstanding Swingline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Swingline Lender</w:t>
      </w:r>
      <w:r>
        <w:rPr>
          <w:color w:val="000000"/>
        </w:rPr>
        <w:t xml:space="preserve">” </w:t>
      </w:r>
      <w:r>
        <w:rPr>
          <w:rFonts w:ascii="Times New Roman;serif" w:hAnsi="Times New Roman;serif"/>
          <w:b w:val="false"/>
          <w:color w:val="000000"/>
          <w:sz w:val="22"/>
        </w:rPr>
        <w:t>shall mean Truist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Swingline Loan</w:t>
      </w:r>
      <w:r>
        <w:rPr>
          <w:color w:val="000000"/>
        </w:rPr>
        <w:t xml:space="preserve">” </w:t>
      </w:r>
      <w:r>
        <w:rPr>
          <w:rFonts w:ascii="Times New Roman;serif" w:hAnsi="Times New Roman;serif"/>
          <w:b w:val="false"/>
          <w:color w:val="000000"/>
          <w:sz w:val="22"/>
        </w:rPr>
        <w:t xml:space="preserve">shall mean a loan made to the Borrower by the Swingline Lender under the Swingline Commitment.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Synthetic Lease</w:t>
      </w:r>
      <w:r>
        <w:rPr>
          <w:color w:val="000000"/>
        </w:rPr>
        <w:t xml:space="preserve">” </w:t>
      </w:r>
      <w:r>
        <w:rPr>
          <w:rFonts w:ascii="Times New Roman;serif" w:hAnsi="Times New Roman;serif"/>
          <w:b w:val="false"/>
          <w:color w:val="000000"/>
          <w:sz w:val="22"/>
        </w:rPr>
        <w:t>shall mean a lease transaction under which the parties intend that (i) the lease will be treated as an “operating lease” by the lessee pursuant to Accounting Standards Codification Sections 840-10 and 840-20, as amended, and Accounting Standards Codification Section 842 and (ii) the lessee will be entitled to various tax and other benefits ordinarily available to owners (as opposed to lessees) of like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Synthetic Lease Obligations</w:t>
      </w:r>
      <w:r>
        <w:rPr>
          <w:color w:val="000000"/>
        </w:rPr>
        <w:t xml:space="preserve">” </w:t>
      </w:r>
      <w:r>
        <w:rPr>
          <w:rFonts w:ascii="Times New Roman;serif" w:hAnsi="Times New Roman;serif"/>
          <w:b w:val="false"/>
          <w:color w:val="000000"/>
          <w:sz w:val="22"/>
        </w:rPr>
        <w:t>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shall mean any and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A Loan</w:t>
      </w:r>
      <w:r>
        <w:rPr>
          <w:color w:val="000000"/>
        </w:rPr>
        <w:t xml:space="preserve">” </w:t>
      </w:r>
      <w:r>
        <w:rPr>
          <w:rFonts w:ascii="Times New Roman;serif" w:hAnsi="Times New Roman;serif"/>
          <w:b w:val="false"/>
          <w:color w:val="000000"/>
          <w:sz w:val="22"/>
        </w:rPr>
        <w:t xml:space="preserve">shall mean a term loan made by a Term Lender to the Borrower pursuant to </w:t>
      </w:r>
      <w:r>
        <w:rPr>
          <w:rFonts w:ascii="Times New Roman;serif" w:hAnsi="Times New Roman;serif"/>
          <w:b w:val="false"/>
          <w:color w:val="000000"/>
          <w:sz w:val="22"/>
          <w:u w:val="single"/>
        </w:rPr>
        <w:t>Section 2.5(a)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A Loan Commitment</w:t>
      </w:r>
      <w:r>
        <w:rPr>
          <w:color w:val="000000"/>
        </w:rPr>
        <w:t xml:space="preserve">” </w:t>
      </w:r>
      <w:r>
        <w:rPr>
          <w:rFonts w:ascii="Times New Roman;serif" w:hAnsi="Times New Roman;serif"/>
          <w:b w:val="false"/>
          <w:color w:val="000000"/>
          <w:sz w:val="22"/>
        </w:rPr>
        <w:t xml:space="preserve">shall mean, with respect to each Term Lender, the obligation of such Term Lender to make a Term A Loan hereunder on the Closing Date, in a principal amount not to exceed the amount set forth with respect to such Term Lender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under the column “Term A Loan Commitment”. The aggregate principal amount of all Term Lenders’ Term A Loan Commitments as of the Closing Date (immediately prior to giving effect to the funding of the Term A Loan on the Closing Date) is $580,000,000.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Lender</w:t>
      </w:r>
      <w:r>
        <w:rPr>
          <w:color w:val="000000"/>
        </w:rPr>
        <w:t xml:space="preserve">” </w:t>
      </w:r>
      <w:r>
        <w:rPr>
          <w:rFonts w:ascii="Times New Roman;serif" w:hAnsi="Times New Roman;serif"/>
          <w:b w:val="false"/>
          <w:color w:val="000000"/>
          <w:sz w:val="22"/>
        </w:rPr>
        <w:t xml:space="preserve">shall mean each Lender with an outstanding Term Loan Commitment or Term Loan.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 xml:space="preserve">shall mean a term loan made by a Term Lender to the Borrower and/or outstanding pursuant to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2.27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2.28</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036955"/>
                <wp:effectExtent l="0" t="0" r="0" b="0"/>
                <wp:wrapNone/>
                <wp:docPr id="176" name="Frame17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 Commitment</w:t>
      </w:r>
      <w:r>
        <w:rPr>
          <w:color w:val="000000"/>
        </w:rPr>
        <w:t xml:space="preserve">” </w:t>
      </w:r>
      <w:r>
        <w:rPr>
          <w:rFonts w:ascii="Times New Roman;serif" w:hAnsi="Times New Roman;serif"/>
          <w:b w:val="false"/>
          <w:color w:val="000000"/>
          <w:sz w:val="22"/>
        </w:rPr>
        <w:t xml:space="preserve">shall mean, individually, a Term A Loan Commitment, a Delayed Draw Term Loan Commitment, an Incremental Term Loan Commitment, an Extended Term Loan Commitment and/or Other Refinancing Term Loan Commitment, as the context may require. </w:t>
      </w:r>
    </w:p>
    <w:p>
      <w:pPr>
        <w:pStyle w:val="TextBody"/>
        <w:bidi w:val="0"/>
        <w:spacing w:lineRule="auto" w:line="288" w:before="0" w:after="220"/>
        <w:ind w:left="0" w:right="0" w:firstLine="720"/>
        <w:jc w:val="left"/>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 xml:space="preserve">shall mean, </w:t>
      </w:r>
    </w:p>
    <w:p>
      <w:pPr>
        <w:pStyle w:val="TextBody"/>
        <w:bidi w:val="0"/>
        <w:spacing w:lineRule="auto" w:line="288" w:before="0" w:after="220"/>
        <w:ind w:left="0" w:right="0" w:firstLine="720"/>
        <w:jc w:val="both"/>
        <w:rPr/>
      </w:pPr>
      <w:r>
        <w:rPr>
          <w:rFonts w:ascii="Times New Roman;serif" w:hAnsi="Times New Roman;serif"/>
          <w:b w:val="false"/>
          <w:color w:val="000000"/>
          <w:sz w:val="22"/>
        </w:rPr>
        <w:t>(1)    for any calculation with respect to a SOFR Loan, the Term SOFR Reference Rate for a tenor comparable to the applicable Interest Period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20"/>
        <w:ind w:left="0" w:right="0" w:firstLine="720"/>
        <w:jc w:val="both"/>
        <w:rPr/>
      </w:pPr>
      <w:r>
        <w:rPr>
          <w:rFonts w:ascii="Times New Roman;serif" w:hAnsi="Times New Roman;serif"/>
          <w:b w:val="false"/>
          <w:color w:val="000000"/>
          <w:sz w:val="22"/>
        </w:rPr>
        <w:t>(2)    for any calculation with respect to a Base Rate Loan on any day, the Term SOFR Reference Rate for a tenor of one month on the day (such day, the “</w:t>
      </w:r>
      <w:r>
        <w:rPr>
          <w:rFonts w:ascii="Times New Roman;serif" w:hAnsi="Times New Roman;serif"/>
          <w:b w:val="false"/>
          <w:color w:val="000000"/>
          <w:sz w:val="22"/>
          <w:u w:val="single"/>
        </w:rPr>
        <w:t>Base Rate Term SOFR Determination Day</w:t>
      </w:r>
      <w:r>
        <w:rPr>
          <w:color w:val="000000"/>
        </w:rPr>
        <w:t>”</w:t>
      </w:r>
      <w:r>
        <w:rPr>
          <w:rFonts w:ascii="Times New Roman;serif" w:hAnsi="Times New Roman;serif"/>
          <w:b w:val="false"/>
          <w:color w:val="000000"/>
          <w:sz w:val="22"/>
        </w:rPr>
        <w:t xml:space="preserve">) that is two (2) U.S. Government Securities Business Days prior to such day, as such rate is published by the Term SOFR Administrator;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provided, that if Term SOFR determined as provided above (including pursuant to the proviso under clause (a) or (b) above) shall ever be less than the Floor, then Term SOFR shall be deemed to be the Floor.</w:t>
      </w:r>
    </w:p>
    <w:p>
      <w:pPr>
        <w:pStyle w:val="TextBody"/>
        <w:bidi w:val="0"/>
        <w:spacing w:lineRule="auto" w:line="288" w:before="0" w:after="220"/>
        <w:ind w:left="0" w:right="0" w:firstLine="720"/>
        <w:jc w:val="left"/>
        <w:rPr/>
      </w:pPr>
      <w:r>
        <w:rPr>
          <w:color w:val="000000"/>
        </w:rPr>
        <w:t>“</w:t>
      </w:r>
      <w:r>
        <w:rPr>
          <w:rFonts w:ascii="Times New Roman;serif" w:hAnsi="Times New Roman;serif"/>
          <w:b w:val="false"/>
          <w:color w:val="000000"/>
          <w:sz w:val="22"/>
          <w:u w:val="single"/>
        </w:rPr>
        <w:t>Term SOFR Administrator</w:t>
      </w:r>
      <w:r>
        <w:rPr>
          <w:color w:val="000000"/>
        </w:rPr>
        <w:t xml:space="preserve">” </w:t>
      </w:r>
      <w:r>
        <w:rPr>
          <w:rFonts w:ascii="Times New Roman;serif" w:hAnsi="Times New Roman;serif"/>
          <w:b w:val="false"/>
          <w:color w:val="000000"/>
          <w:sz w:val="22"/>
        </w:rPr>
        <w:t>shall mean the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shall mean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 xml:space="preserve">” </w:t>
      </w:r>
      <w:r>
        <w:rPr>
          <w:rFonts w:ascii="Times New Roman;serif" w:hAnsi="Times New Roman;serif"/>
          <w:b w:val="false"/>
          <w:color w:val="000000"/>
          <w:sz w:val="22"/>
        </w:rPr>
        <w:t xml:space="preserve">shall mean, as of any date of determination, the period of four consecutive Fiscal Quarters most recently ended as of such date of determination for which financial statements have been (or are required to have been) delivered pursuant to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prior to the first such delivery (or requirement of delivery), the period of four consecutive Fiscal Quarters ended on September 30, 2025),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the purposes of determining actual quarterly compliance with </w:t>
      </w:r>
      <w:r>
        <w:rPr>
          <w:rFonts w:ascii="Times New Roman;serif" w:hAnsi="Times New Roman;serif"/>
          <w:b w:val="false"/>
          <w:color w:val="000000"/>
          <w:sz w:val="22"/>
          <w:u w:val="single"/>
        </w:rPr>
        <w:t>Sections 6.1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6.2</w:t>
      </w:r>
      <w:r>
        <w:rPr>
          <w:rFonts w:ascii="Times New Roman;serif" w:hAnsi="Times New Roman;serif"/>
          <w:b w:val="false"/>
          <w:color w:val="000000"/>
          <w:sz w:val="22"/>
        </w:rPr>
        <w:t xml:space="preserve">, Test Period shall mean the period of four consecutive Fiscal Quarters ending on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036955"/>
                <wp:effectExtent l="0" t="0" r="0" b="0"/>
                <wp:wrapNone/>
                <wp:docPr id="177" name="Frame17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date of determination (in respect of which financial statements have been or are required to have been delivered pursuant to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 xml:space="preserve">shall mean $35,000,000.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w:t>
      </w:r>
      <w:r>
        <w:rPr>
          <w:color w:val="000000"/>
        </w:rPr>
        <w:t xml:space="preserve">” </w:t>
      </w:r>
      <w:r>
        <w:rPr>
          <w:rFonts w:ascii="Times New Roman;serif" w:hAnsi="Times New Roman;serif"/>
          <w:b w:val="false"/>
          <w:color w:val="000000"/>
          <w:sz w:val="22"/>
        </w:rPr>
        <w:t xml:space="preserve">shall have the meaning assigned to such term in the Guaranty and Security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 Security Agreement</w:t>
      </w:r>
      <w:r>
        <w:rPr>
          <w:color w:val="000000"/>
        </w:rPr>
        <w:t xml:space="preserve">” </w:t>
      </w:r>
      <w:r>
        <w:rPr>
          <w:rFonts w:ascii="Times New Roman;serif" w:hAnsi="Times New Roman;serif"/>
          <w:b w:val="false"/>
          <w:color w:val="000000"/>
          <w:sz w:val="22"/>
        </w:rPr>
        <w:t>shall mean any Trademark Security Agreement executed by a Loan Party owning registered Trademarks or applications for Trademarks in favor of the Administrative Agent for the benefit of the Secured Parties, in each case as amended, restated, reaffirmed,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Trigger Quarter</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when used in reference to a Loan or a Borrowing, refers to whether the rate of interest on such Loan, or on the Loans comprising such Borrowing, is determined by reference to Term SOFR or the Base Rate.</w:t>
      </w:r>
    </w:p>
    <w:p>
      <w:pPr>
        <w:pStyle w:val="TextBody"/>
        <w:bidi w:val="0"/>
        <w:spacing w:lineRule="auto" w:line="288" w:before="0" w:after="22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shall mean the Benchmark Replacement excluding the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Unfunded Pension Liability</w:t>
      </w:r>
      <w:r>
        <w:rPr>
          <w:color w:val="000000"/>
        </w:rPr>
        <w:t xml:space="preserve">” </w:t>
      </w:r>
      <w:r>
        <w:rPr>
          <w:rFonts w:ascii="Times New Roman;serif" w:hAnsi="Times New Roman;serif"/>
          <w:b w:val="false"/>
          <w:color w:val="000000"/>
          <w:sz w:val="22"/>
        </w:rPr>
        <w:t>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shall mean the Uniform Commercial Code as in effect from time to time in the State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rFonts w:ascii="Times New Roman;serif" w:hAnsi="Times New Roman;serif"/>
          <w:b w:val="false"/>
          <w:color w:val="000000"/>
          <w:sz w:val="22"/>
        </w:rPr>
        <w:t xml:space="preserve">.” shall mean the United States of America.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 xml:space="preserve">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shall mean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shall have the meaning set forth in </w:t>
      </w:r>
      <w:r>
        <w:rPr>
          <w:rFonts w:ascii="Times New Roman;serif" w:hAnsi="Times New Roman;serif"/>
          <w:b w:val="false"/>
          <w:color w:val="000000"/>
          <w:sz w:val="22"/>
          <w:u w:val="single"/>
        </w:rPr>
        <w:t>Section 2.20(g)(ii)(B)(iii)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036955"/>
                <wp:effectExtent l="0" t="0" r="0" b="0"/>
                <wp:wrapNone/>
                <wp:docPr id="178" name="Frame17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Unfinanced Cash Capital Expenditures</w:t>
      </w:r>
      <w:r>
        <w:rPr>
          <w:color w:val="000000"/>
        </w:rPr>
        <w:t xml:space="preserve">” </w:t>
      </w:r>
      <w:r>
        <w:rPr>
          <w:rFonts w:ascii="Times New Roman;serif" w:hAnsi="Times New Roman;serif"/>
          <w:b w:val="false"/>
          <w:color w:val="000000"/>
          <w:sz w:val="22"/>
        </w:rPr>
        <w:t xml:space="preserve">shall mean, for any period, the amount of Capital Expenditures made by the Borrower and its Subsidiaries during such period in cash, but excluding any such Capital Expenditures financed with Indebtedness permitted under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(other than any revolving credit facility or other short-term Indebtedness) or that constitute reinvestment of proceeds as permitted under </w:t>
      </w:r>
      <w:r>
        <w:rPr>
          <w:rFonts w:ascii="Times New Roman;serif" w:hAnsi="Times New Roman;serif"/>
          <w:b w:val="false"/>
          <w:color w:val="000000"/>
          <w:sz w:val="22"/>
          <w:u w:val="single"/>
        </w:rPr>
        <w:t>Section 2.12(a)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 by (ii) the then outstanding principal amount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 xml:space="preserve">” </w:t>
      </w:r>
      <w:r>
        <w:rPr>
          <w:rFonts w:ascii="Times New Roman;serif" w:hAnsi="Times New Roman;serif"/>
          <w:b w:val="false"/>
          <w:color w:val="000000"/>
          <w:sz w:val="22"/>
        </w:rPr>
        <w:t xml:space="preserve">shall mean a Subsidiary with respect to which 100% of the issued and outstanding Capital Stock is owned directly or indirectly by the Borrower (other than (i) directors’ qualifying shares, (ii) shares issued to foreign nationals to the extent required by applicable law and (iii) shares held by a Person on trust for, or otherwise where the beneficial interest is held by, the Borrower (directly or indirectly)).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Withdrawal Liability</w:t>
      </w:r>
      <w:r>
        <w:rPr>
          <w:color w:val="000000"/>
        </w:rPr>
        <w:t xml:space="preserve">” </w:t>
      </w:r>
      <w:r>
        <w:rPr>
          <w:rFonts w:ascii="Times New Roman;serif" w:hAnsi="Times New Roman;serif"/>
          <w:b w:val="false"/>
          <w:color w:val="000000"/>
          <w:sz w:val="22"/>
        </w:rPr>
        <w:t>shall mean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shall mean the Borrower, any other Loan Party or the Administrative Agent,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 xml:space="preserve">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lineRule="auto" w:line="240" w:before="0" w:after="0"/>
        <w:ind w:left="0" w:right="0" w:firstLine="720"/>
        <w:jc w:val="both"/>
        <w:rPr/>
      </w:pPr>
      <w:bookmarkStart w:id="55" w:name="i420ac99070b44470893640290935a9be"/>
      <w:bookmarkEnd w:id="55"/>
      <w:r>
        <w:rPr>
          <w:rFonts w:ascii="Times New Roman;serif" w:hAnsi="Times New Roman;serif"/>
          <w:b/>
          <w:color w:val="000000"/>
          <w:sz w:val="22"/>
        </w:rPr>
        <w:t>Section 1.2</w:t>
      </w:r>
      <w:r>
        <w:rPr>
          <w:rFonts w:ascii="Times New Roman;serif" w:hAnsi="Times New Roman;serif"/>
          <w:b/>
          <w:color w:val="000000"/>
          <w:sz w:val="22"/>
          <w:u w:val="single"/>
        </w:rPr>
        <w:t>Classifications of Loans and Borrowings</w:t>
      </w:r>
      <w:r>
        <w:rPr>
          <w:rFonts w:ascii="Times New Roman;serif" w:hAnsi="Times New Roman;serif"/>
          <w:b w:val="false"/>
          <w:color w:val="000000"/>
          <w:sz w:val="22"/>
        </w:rPr>
        <w:t>. For purposes of this Agreement, Loans may be classified and referred to by Class (e.g. “Revolving Loan” or “Term Loan”) or by Type (e.g., “SOFR Loan” or “Base Rate Loan”) or by Class and Type (e.g., “Revolving SOFR Loan” or “Delayed Draw Term Loan Borrowing”). Borrowings also may be classified and referred to by Class (e.g., “Revolving Borrowing”) or by Type (e.g. “SOFR Borrowing”) or by Class and Type (e.g., “Revolving SOFR Borrowing”).</w:t>
      </w:r>
    </w:p>
    <w:p>
      <w:pPr>
        <w:pStyle w:val="TextBody"/>
        <w:bidi w:val="0"/>
        <w:spacing w:lineRule="auto" w:line="240" w:before="0" w:after="0"/>
        <w:ind w:left="0" w:right="0" w:firstLine="720"/>
        <w:jc w:val="both"/>
        <w:rPr/>
      </w:pPr>
      <w:bookmarkStart w:id="56" w:name="i40c0be98e30b4144a41f9c57fc5d0086"/>
      <w:bookmarkEnd w:id="56"/>
      <w:r>
        <w:rPr>
          <w:rFonts w:ascii="Times New Roman;serif" w:hAnsi="Times New Roman;serif"/>
          <w:b/>
          <w:color w:val="000000"/>
          <w:sz w:val="22"/>
        </w:rPr>
        <w:t>Section 1.3</w:t>
      </w:r>
      <w:r>
        <w:rPr>
          <w:rFonts w:ascii="Times New Roman;serif" w:hAnsi="Times New Roman;serif"/>
          <w:b/>
          <w:color w:val="000000"/>
          <w:sz w:val="22"/>
          <w:u w:val="single"/>
        </w:rPr>
        <w:t>Accounting Terms and Determination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57" w:name="i442d351708c546f78ad00e47dffa05dd"/>
      <w:bookmarkEnd w:id="57"/>
      <w:r>
        <w:rPr>
          <w:rFonts w:ascii="Times New Roman;serif" w:hAnsi="Times New Roman;serif"/>
          <w:b w:val="false"/>
          <w:color w:val="000000"/>
          <w:sz w:val="22"/>
        </w:rPr>
        <w:t>(a)</w:t>
      </w:r>
      <w:r>
        <w:rPr>
          <w:rFonts w:ascii="Times New Roman;serif" w:hAnsi="Times New Roman;serif"/>
          <w:b w:val="false"/>
          <w:color w:val="000000"/>
          <w:sz w:val="22"/>
        </w:rPr>
        <w:t xml:space="preserve">Unless otherwise defined or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statements of the Borrower delivered pursuant to </w:t>
      </w:r>
      <w:r>
        <w:rPr>
          <w:rFonts w:ascii="Times New Roman;serif" w:hAnsi="Times New Roman;serif"/>
          <w:b w:val="false"/>
          <w:color w:val="000000"/>
          <w:sz w:val="22"/>
          <w:u w:val="single"/>
        </w:rPr>
        <w:t>Section 5.1(a)</w:t>
      </w:r>
      <w:r>
        <w:rPr>
          <w:color w:val="000000"/>
        </w:rPr>
        <w:t xml:space="preserve"> </w:t>
      </w:r>
      <w:r>
        <w:rPr>
          <w:rFonts w:ascii="Times New Roman;serif" w:hAnsi="Times New Roman;serif"/>
          <w:b w:val="false"/>
          <w:color w:val="000000"/>
          <w:sz w:val="22"/>
        </w:rPr>
        <w:t xml:space="preserve">(or, if no such financial statements have been delivered, on a basis consistent with the audited consolidated financial statements of the Borrower last publicly filed);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notifies the Administrative Agent that the Borrower wishes to amend any covenant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to eliminate the effect of any change in GAAP on the operation of such covenant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036955"/>
                <wp:effectExtent l="0" t="0" r="0" b="0"/>
                <wp:wrapNone/>
                <wp:docPr id="179" name="Frame17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if the Administrative Agent notifies the Borrower that the Required Lenders wish to amend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 (and each party hereto agrees to negotiate in good faith with respect to such amendment). Notwithstanding any other provision contained herein, (i) all terms of an accounting or financial nature used herein shall be construed, and all computations of amounts and ratios referred to herein shall be made, without giving effect to (x) any election under Accounting Standards Codification Section 825-10 (or any other Financial Accounting Standard having a similar result or effect including ASU 2015-03, and any other related treatment for debt discounts and premiums, such as original issue discount) to value any Indebtedness or other liabilities of any Loan Party or any Subsidiary of any Loan Party at “fair value”, as defined therein pr (y) any treatment of Indebtedness in respect of convertible debt instruments under ASC 470-20 (or any other ASC or Financial Accounting Standard having a similar result or effect) to value any such Indebtedness in a reduced or bifurcated manner as described therein, and such Indebtedness shall at all times be valued at the full stated principal amount thereof and (ii) for purposes of this Agreement, any lease that was accounted for by any Person as an operating lease as of December 31, 2018 and any lease entered into after December 31, 2018 that would have been accounted for as an operating lease if such lease had been in effect on December 31, 2018 shall be accounted for as an operating lease consistent with GAAP as in effect on December 31, 2018.</w:t>
      </w:r>
    </w:p>
    <w:p>
      <w:pPr>
        <w:pStyle w:val="TextBody"/>
        <w:bidi w:val="0"/>
        <w:spacing w:lineRule="auto" w:line="240" w:before="0" w:after="240"/>
        <w:ind w:left="0" w:right="0" w:firstLine="1440"/>
        <w:jc w:val="both"/>
        <w:rPr/>
      </w:pPr>
      <w:bookmarkStart w:id="58" w:name="i92c70694f3204fc08159270b81ddc885"/>
      <w:bookmarkEnd w:id="58"/>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59" w:name="i51c8f75089974877a8bd15e62ef8d073"/>
      <w:bookmarkEnd w:id="59"/>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herein, all financial ratios and tests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(other than for compliance with the definition of “Permitted Acquisition”), any Subject Transaction shall have occurred then any applicable financial ratio or test shall be calculated on a Pro Forma Basis for such Test Period as if such Subject Transaction had occurred at the beginning of the applicable Test Period. Notwithstanding the foregoing, solely for purposes of calculating actual quarterly compliance with </w:t>
      </w:r>
      <w:r>
        <w:rPr>
          <w:rFonts w:ascii="Times New Roman;serif" w:hAnsi="Times New Roman;serif"/>
          <w:b w:val="false"/>
          <w:color w:val="000000"/>
          <w:sz w:val="22"/>
          <w:u w:val="single"/>
        </w:rPr>
        <w:t>Sections 6.1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6.2</w:t>
      </w:r>
      <w:r>
        <w:rPr>
          <w:color w:val="000000"/>
        </w:rPr>
        <w:t xml:space="preserve"> </w:t>
      </w:r>
      <w:r>
        <w:rPr>
          <w:rFonts w:ascii="Times New Roman;serif" w:hAnsi="Times New Roman;serif"/>
          <w:b w:val="false"/>
          <w:color w:val="000000"/>
          <w:sz w:val="22"/>
        </w:rPr>
        <w:t xml:space="preserve">and for calculating the Applicable Margin, the Applicable Percentage, and/or the Applicable Ticking Fee Rate, the date of the required calculation shall be the end of the Test Period, and no Subject Transaction permitted hereunder (including, for the avoidance of doubt, any incurrence, assumption, guarantee, redemption, repayment, retirement or extinguishment of any Indebtedness) occurring thereafter shall be taken into account. </w:t>
      </w:r>
    </w:p>
    <w:p>
      <w:pPr>
        <w:pStyle w:val="TextBody"/>
        <w:bidi w:val="0"/>
        <w:spacing w:lineRule="auto" w:line="240"/>
        <w:ind w:left="0" w:right="0" w:firstLine="720"/>
        <w:jc w:val="both"/>
        <w:rPr/>
      </w:pPr>
      <w:bookmarkStart w:id="60" w:name="id0a7bfc4edac42bab524840738f620b7"/>
      <w:bookmarkEnd w:id="60"/>
      <w:r>
        <w:rPr>
          <w:rFonts w:ascii="Times New Roman;serif" w:hAnsi="Times New Roman;serif"/>
          <w:b/>
          <w:color w:val="000000"/>
          <w:sz w:val="22"/>
        </w:rPr>
        <w:t>Section 1.4</w:t>
      </w:r>
      <w:r>
        <w:rPr>
          <w:rFonts w:ascii="Times New Roman;serif" w:hAnsi="Times New Roman;serif"/>
          <w:b/>
          <w:color w:val="000000"/>
          <w:sz w:val="22"/>
          <w:u w:val="single"/>
        </w:rPr>
        <w:t>Terms Generally</w:t>
      </w:r>
      <w:r>
        <w:rPr>
          <w:rFonts w:ascii="Times New Roman;serif" w:hAnsi="Times New Roman;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“other” and “otherwise” shall not be construed ejusdem generis with any foregoing words where a wider construction is possible.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a specific time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036955"/>
                <wp:effectExtent l="0" t="0" r="0" b="0"/>
                <wp:wrapNone/>
                <wp:docPr id="180" name="Frame17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construed to refer to the time in the city and state of the Administrative Agent’s principal office, unless otherwise indicated. Unless otherwise expressly provided herein, all references to dollar amounts shall mean Dollars. In determining whether any individual event, act, condition or occurrence of the foregoing types could reasonably be expected to result in a Material Adverse Effect, notwithstanding that a particular event, act, condition or occurrence does not itself have such effect, a Material Adverse Effect shall be deemed to have occurred if the cumulative effect of such event, act, condition or occurrence and all other such events, acts, conditions or occurrences of the foregoing types which have occurred could reasonably be expected to result in a Material Adverse Effect.</w:t>
      </w:r>
    </w:p>
    <w:p>
      <w:pPr>
        <w:pStyle w:val="TextBody"/>
        <w:bidi w:val="0"/>
        <w:spacing w:lineRule="auto" w:line="240" w:before="0" w:after="0"/>
        <w:ind w:left="0" w:right="0" w:firstLine="720"/>
        <w:jc w:val="both"/>
        <w:rPr/>
      </w:pPr>
      <w:bookmarkStart w:id="61" w:name="id96d940a64de4bf38dbbce8f19dfbd93"/>
      <w:bookmarkEnd w:id="61"/>
      <w:r>
        <w:rPr>
          <w:rFonts w:ascii="Times New Roman;serif" w:hAnsi="Times New Roman;serif"/>
          <w:b/>
          <w:color w:val="000000"/>
          <w:sz w:val="22"/>
        </w:rPr>
        <w:t>Section 1.5</w:t>
      </w:r>
      <w:r>
        <w:rPr>
          <w:rFonts w:ascii="Times New Roman;serif" w:hAnsi="Times New Roman;serif"/>
          <w:b/>
          <w:color w:val="000000"/>
          <w:sz w:val="22"/>
          <w:u w:val="single"/>
        </w:rPr>
        <w:t>Divisions</w:t>
      </w:r>
      <w:r>
        <w:rPr>
          <w:rFonts w:ascii="Times New Roman;serif" w:hAnsi="Times New Roman;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40" w:before="0" w:after="0"/>
        <w:ind w:left="0" w:right="0" w:firstLine="720"/>
        <w:jc w:val="both"/>
        <w:rPr/>
      </w:pPr>
      <w:bookmarkStart w:id="62" w:name="i6395309cf0cc415f94e623e13315c2e0"/>
      <w:bookmarkEnd w:id="62"/>
      <w:r>
        <w:rPr>
          <w:rFonts w:ascii="Times New Roman;serif" w:hAnsi="Times New Roman;serif"/>
          <w:b/>
          <w:color w:val="000000"/>
          <w:sz w:val="22"/>
        </w:rPr>
        <w:t>Section 1.6</w:t>
      </w:r>
      <w:r>
        <w:rPr>
          <w:rFonts w:ascii="Times New Roman;serif" w:hAnsi="Times New Roman;serif"/>
          <w:b/>
          <w:color w:val="000000"/>
          <w:sz w:val="22"/>
          <w:u w:val="single"/>
        </w:rPr>
        <w:t>Rates</w:t>
      </w:r>
      <w:r>
        <w:rPr>
          <w:rFonts w:ascii="Times New Roman;serif" w:hAnsi="Times New Roman;serif"/>
          <w:b w:val="false"/>
          <w:color w:val="000000"/>
          <w:sz w:val="22"/>
        </w:rPr>
        <w:t>. The Administrative Agent does not warrant or accept responsibility for, and shall not have any liability with respect to, (a) the continuation of, administration of, submission of, calculation of or any other matter related to the Base Rate, the Term SOFR Reference Rate, Term SOFR, or any component definition thereof or rates referred to in the definitions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ind w:left="0" w:right="0" w:firstLine="720"/>
        <w:jc w:val="both"/>
        <w:rPr/>
      </w:pPr>
      <w:bookmarkStart w:id="63" w:name="i04f02df7794e446cb7cb6334df272c33"/>
      <w:bookmarkEnd w:id="63"/>
      <w:r>
        <w:rPr>
          <w:rFonts w:ascii="Times New Roman;serif" w:hAnsi="Times New Roman;serif"/>
          <w:b/>
          <w:color w:val="000000"/>
          <w:sz w:val="22"/>
        </w:rPr>
        <w:t>Section 1.7</w:t>
      </w:r>
      <w:r>
        <w:rPr>
          <w:rFonts w:ascii="Times New Roman;serif" w:hAnsi="Times New Roman;serif"/>
          <w:b/>
          <w:color w:val="000000"/>
          <w:sz w:val="22"/>
          <w:u w:val="single"/>
        </w:rPr>
        <w:t>Limited Condition Transactions</w:t>
      </w:r>
      <w:r>
        <w:rPr>
          <w:rFonts w:ascii="Times New Roman;serif" w:hAnsi="Times New Roman;serif"/>
          <w:b w:val="false"/>
          <w:color w:val="000000"/>
          <w:sz w:val="22"/>
        </w:rPr>
        <w:t xml:space="preserve">. Notwithstanding anything to the contrary herein, for purposes of (i) determining compliance with </w:t>
      </w:r>
      <w:r>
        <w:rPr>
          <w:rFonts w:ascii="Times New Roman;serif" w:hAnsi="Times New Roman;serif"/>
          <w:b w:val="false"/>
          <w:color w:val="000000"/>
          <w:sz w:val="22"/>
          <w:u w:val="single"/>
        </w:rPr>
        <w:t>Sections 6.1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6.2</w:t>
      </w:r>
      <w:r>
        <w:rPr>
          <w:color w:val="000000"/>
        </w:rPr>
        <w:t xml:space="preserve"> </w:t>
      </w:r>
      <w:r>
        <w:rPr>
          <w:rFonts w:ascii="Times New Roman;serif" w:hAnsi="Times New Roman;serif"/>
          <w:b w:val="false"/>
          <w:color w:val="000000"/>
          <w:sz w:val="22"/>
        </w:rPr>
        <w:t xml:space="preserve">on a pro forma basis and capacity under baskets (including baskets measured as a percentage of Consolidated EBITDA or based on a ratio test) with respect to (a) the making of any Permitted Acquisitions or other Acquisitions permitted hereunder and/or (b) the designation of a Subsidiary (or a Person to become a Subsidiary) as an Excluded Subsidiary and, in each case, the incurrence of any Indebtedness permitted hereunder in connection therewith (other than Indebtedness under or other use of the Revolving Commitment or the establishment of any Incremental Revolving Commitment) or (ii) determining compliance with representations and warranties or any Default or Event of Default test with respect to the making of (a) any Permitted Acquisitions or other Acquisitions permitted hereunder and/or (b) the designation of a Subsidiary (or a Person to become a Subsidiary) as an Excluded Subsidiary and, in each case, the incurrence of any Indebtedness permitted hereunder in connection therewith (other than Indebtedness under or other use of the Revolving Commitment or the establishment of any Incremental Revolving Commitment), in the case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in connection with a Limited Condition Acquisition, if the Borrower has made an LCA Election with respect to such Limited Condition Acquisition, the date of determination of whether any such action is permitted hereunder (including, in the case of calculating Consolidated EBITDA, the reference date for determining the most recently ended period of four consecutive fiscal quarters) shall be deemed to be the date the definitive agreement for such Limited Condition Acquisition (a “</w:t>
      </w:r>
      <w:r>
        <w:rPr>
          <w:rFonts w:ascii="Times New Roman;serif" w:hAnsi="Times New Roman;serif"/>
          <w:b w:val="false"/>
          <w:color w:val="000000"/>
          <w:sz w:val="22"/>
          <w:u w:val="single"/>
        </w:rPr>
        <w:t>Limited Condition Acquisition Agreement</w:t>
      </w:r>
      <w:r>
        <w:rPr>
          <w:color w:val="000000"/>
        </w:rPr>
        <w:t>”</w:t>
      </w:r>
      <w:r>
        <w:rPr>
          <w:rFonts w:ascii="Times New Roman;serif" w:hAnsi="Times New Roman;serif"/>
          <w:b w:val="false"/>
          <w:color w:val="000000"/>
          <w:sz w:val="22"/>
        </w:rPr>
        <w:t>) is entered into (the “</w:t>
      </w:r>
      <w:r>
        <w:rPr>
          <w:rFonts w:ascii="Times New Roman;serif" w:hAnsi="Times New Roman;serif"/>
          <w:b w:val="false"/>
          <w:color w:val="000000"/>
          <w:sz w:val="22"/>
          <w:u w:val="single"/>
        </w:rPr>
        <w:t>LCA Test Date</w:t>
      </w:r>
      <w:r>
        <w:rPr>
          <w:color w:val="000000"/>
        </w:rPr>
        <w:t>”</w:t>
      </w:r>
      <w:r>
        <w:rPr>
          <w:rFonts w:ascii="Times New Roman;serif" w:hAnsi="Times New Roman;serif"/>
          <w:b w:val="false"/>
          <w:color w:val="000000"/>
          <w:sz w:val="22"/>
        </w:rPr>
        <w:t xml:space="preserve">), and if, after giving effect to such Limited Condition Acquisition and the other transactions to be entered into in connection therewith (including the incurrence of any Indebtedness and the use of proceeds thereof) on a pro forma basis, the Borrower could have taken such action on the relevant LCA Test Date in compliance with such financial covenant, basket, representation and warranty or Default or Event of Default test, such financial covenant, basket, representation and warranty or Default or Event of Default test shall be deemed to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036955"/>
                <wp:effectExtent l="0" t="0" r="0" b="0"/>
                <wp:wrapNone/>
                <wp:docPr id="181" name="Frame17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complied with (subject to any other condition in this Agreement requiring that no Specified Event of Default shall have occurred and be continuing or result therefrom on the date of consummation). Within five (5) Business Days after making an LCA Election with respect to any Limited Condition Acquisition, the Borrower shall deliver a certificate of a Responsible Officer of the Borrower to the Administrative Agent (a) notifying the Administrative Agent of such LCA Election and (b) certifying that each of the conditions for such Limited Condition Acquisition and any related transactions that are tested as of the LCA Test Date have been satisfied (which shall include calculations in reasonable detail for any conditions requiring compliance on a pro forma basis with the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or with any relevant ratio tests) (such certificate, an “</w:t>
      </w:r>
      <w:r>
        <w:rPr>
          <w:rFonts w:ascii="Times New Roman;serif" w:hAnsi="Times New Roman;serif"/>
          <w:b w:val="false"/>
          <w:color w:val="000000"/>
          <w:sz w:val="22"/>
          <w:u w:val="single"/>
        </w:rPr>
        <w:t>LCA Election Certificate</w:t>
      </w:r>
      <w:r>
        <w:rPr>
          <w:color w:val="000000"/>
        </w:rPr>
        <w:t>”</w:t>
      </w:r>
      <w:r>
        <w:rPr>
          <w:rFonts w:ascii="Times New Roman;serif" w:hAnsi="Times New Roman;serif"/>
          <w:b w:val="false"/>
          <w:color w:val="000000"/>
          <w:sz w:val="22"/>
        </w:rPr>
        <w:t xml:space="preserve">). For the avoidance of doubt, if the Borrower has made an LCA Election and any of the financial covenant, basket, representation and warranty or Default or Event of Default tests for which compliance was determined or tested as of the LCA Test Date would thereafter have failed to have been satisfied as a result of fluctuations in any such financial covenant or basket, including due to fluctuations in Consolidated EBITDA, or changes in compliance with such representation and warranty or Default or Event of Default test at or prior to the consummation of the relevant Limited Condition Acquisition, such financial covenant, basket, representation and warranty and Default or Event of Default tests will not be deemed to have failed to have been satisfied as a result of such fluctuations or changes. If the Borrower has made an LCA Election for any Limited Condition Acquisition, then in connection with any subsequent calculation of any ratio (other than testing of actual compliance with the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and determination of the Consolidated First Lien Net Leverage Ratio for purposes of determining the Applicable Margin, the Applicable Percentage and/or the Applicable Ticking Fee Rate) or basket on or following the relevant LCA Test Date and prior to the earlier of (i) the date on which such Limited Condition Acquisition is consummated or (ii) the date that the Limited Condition Acquisition Agreement therefor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w:t>
      </w:r>
    </w:p>
    <w:p>
      <w:pPr>
        <w:pStyle w:val="TextBody"/>
        <w:bidi w:val="0"/>
        <w:spacing w:lineRule="auto" w:line="240" w:before="0" w:after="0"/>
        <w:ind w:left="0" w:right="0" w:firstLine="720"/>
        <w:jc w:val="both"/>
        <w:rPr/>
      </w:pPr>
      <w:bookmarkStart w:id="64" w:name="ia71bd2e972fb4f2db6ff561da1f676df"/>
      <w:bookmarkEnd w:id="64"/>
      <w:r>
        <w:rPr>
          <w:rFonts w:ascii="Times New Roman;serif" w:hAnsi="Times New Roman;serif"/>
          <w:b/>
          <w:color w:val="000000"/>
          <w:sz w:val="22"/>
        </w:rPr>
        <w:t>Section 1.8</w:t>
      </w:r>
      <w:r>
        <w:rPr>
          <w:rFonts w:ascii="Times New Roman;serif" w:hAnsi="Times New Roman;serif"/>
          <w:b/>
          <w:color w:val="000000"/>
          <w:sz w:val="22"/>
          <w:u w:val="single"/>
        </w:rPr>
        <w:t>Timing of Payment and Performance</w:t>
      </w:r>
      <w:r>
        <w:rPr>
          <w:rFonts w:ascii="Times New Roman;serif" w:hAnsi="Times New Roman;serif"/>
          <w:b w:val="false"/>
          <w:color w:val="000000"/>
          <w:sz w:val="22"/>
        </w:rPr>
        <w:t xml:space="preserve">.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 Notwithstanding anything to the contrary herein, no prepayment of a SOFR Loan hereunder shall be made on any day that is not a Business Day, and if any prepayment to be made by the Borrower shall fall due on a day that is not a Business Day, payment shall be made on the next succeeding Business Day and such extension of time shall be reflected in computing interest or fees, as the case may be. </w:t>
      </w:r>
    </w:p>
    <w:p>
      <w:pPr>
        <w:pStyle w:val="TextBody"/>
        <w:bidi w:val="0"/>
        <w:spacing w:lineRule="auto" w:line="240" w:before="0" w:after="0"/>
        <w:ind w:left="0" w:right="0" w:firstLine="720"/>
        <w:jc w:val="both"/>
        <w:rPr/>
      </w:pPr>
      <w:bookmarkStart w:id="65" w:name="id323654a438745489b542d1cf7d6bb52"/>
      <w:bookmarkEnd w:id="65"/>
      <w:r>
        <w:rPr>
          <w:rFonts w:ascii="Times New Roman;serif" w:hAnsi="Times New Roman;serif"/>
          <w:b/>
          <w:color w:val="000000"/>
          <w:sz w:val="22"/>
        </w:rPr>
        <w:t>Section 1.9</w:t>
      </w:r>
      <w:r>
        <w:rPr>
          <w:rFonts w:ascii="Times New Roman;serif" w:hAnsi="Times New Roman;serif"/>
          <w:b/>
          <w:color w:val="000000"/>
          <w:sz w:val="22"/>
          <w:u w:val="single"/>
        </w:rPr>
        <w:t>Accounting Terms and Determination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66" w:name="i9011c6b4aadd4a74a912468e67cddc33"/>
      <w:bookmarkEnd w:id="66"/>
      <w:r>
        <w:rPr>
          <w:rFonts w:ascii="Times New Roman;serif" w:hAnsi="Times New Roman;serif"/>
          <w:b w:val="false"/>
          <w:color w:val="000000"/>
          <w:sz w:val="22"/>
        </w:rPr>
        <w:t>(a)</w:t>
      </w:r>
      <w:r>
        <w:rPr>
          <w:rFonts w:ascii="Times New Roman;serif" w:hAnsi="Times New Roman;serif"/>
          <w:b w:val="false"/>
          <w:color w:val="000000"/>
          <w:sz w:val="22"/>
        </w:rPr>
        <w:t xml:space="preserve">For purposes of determining compliance at any time with </w:t>
      </w:r>
      <w:r>
        <w:rPr>
          <w:rFonts w:ascii="Times New Roman;serif" w:hAnsi="Times New Roman;serif"/>
          <w:b w:val="false"/>
          <w:color w:val="000000"/>
          <w:sz w:val="22"/>
          <w:u w:val="single"/>
        </w:rPr>
        <w:t>Sections 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7.7</w:t>
      </w:r>
      <w:r>
        <w:rPr>
          <w:rFonts w:ascii="Times New Roman;serif" w:hAnsi="Times New Roman;serif"/>
          <w:b w:val="false"/>
          <w:color w:val="000000"/>
          <w:sz w:val="22"/>
        </w:rPr>
        <w:t xml:space="preserve">, in the event that any Lien, Investment, Indebtedness, asset sale, Restricted Payment or affiliate transaction meets the criteria of more than one of the categories of transactions permitted pursuant to any clause of such </w:t>
      </w:r>
      <w:r>
        <w:rPr>
          <w:rFonts w:ascii="Times New Roman;serif" w:hAnsi="Times New Roman;serif"/>
          <w:b w:val="false"/>
          <w:color w:val="000000"/>
          <w:sz w:val="22"/>
          <w:u w:val="single"/>
        </w:rPr>
        <w:t>Sections 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7.7</w:t>
      </w:r>
      <w:r>
        <w:rPr>
          <w:rFonts w:ascii="Times New Roman;serif" w:hAnsi="Times New Roman;serif"/>
          <w:b w:val="false"/>
          <w:color w:val="000000"/>
          <w:sz w:val="22"/>
        </w:rPr>
        <w:t xml:space="preserve">, such transaction (or portion thereof) at any time shall be permitted under one or more of such clauses within such Section as determined by the Borrower in its sole discretion at such time of determination (or thereafter in connection with the reclassification under (but solely within) any such Section). </w:t>
      </w:r>
    </w:p>
    <w:p>
      <w:pPr>
        <w:pStyle w:val="TextBody"/>
        <w:bidi w:val="0"/>
        <w:spacing w:lineRule="auto" w:line="240" w:before="0" w:after="240"/>
        <w:ind w:left="0" w:right="0" w:firstLine="1440"/>
        <w:jc w:val="both"/>
        <w:rPr/>
      </w:pPr>
      <w:bookmarkStart w:id="67" w:name="i72e3aaf4cc2944bfba90202309dbfa76"/>
      <w:bookmarkEnd w:id="67"/>
      <w:r>
        <w:rPr>
          <w:rFonts w:ascii="Times New Roman;serif" w:hAnsi="Times New Roman;serif"/>
          <w:b w:val="false"/>
          <w:color w:val="000000"/>
          <w:sz w:val="22"/>
        </w:rPr>
        <w:t>(b)</w:t>
      </w:r>
      <w:r>
        <w:rPr>
          <w:rFonts w:ascii="Times New Roman;serif" w:hAnsi="Times New Roman;serif"/>
          <w:b w:val="false"/>
          <w:color w:val="000000"/>
          <w:sz w:val="22"/>
        </w:rPr>
        <w:t>Notwithstanding anything in this Agreement or any Loan Document to the contrary herein, with respect to any amounts incurred (including any baskets, thresholds, exceptions and any related builder or grower component) or transactions entered into (or consummated) in reliance on a provision of this Agreement that does not require compliance with a financial ratio or test (any such amounts (including the Fixed Incremental Amount and any other amount determined by reference to a specified percentage of Consolidated EBITDA or Consolidated Net Income), the “</w:t>
      </w:r>
      <w:r>
        <w:rPr>
          <w:rFonts w:ascii="Times New Roman;serif" w:hAnsi="Times New Roman;serif"/>
          <w:b w:val="false"/>
          <w:color w:val="000000"/>
          <w:sz w:val="22"/>
          <w:u w:val="single"/>
        </w:rPr>
        <w:t>Fixed Amounts</w:t>
      </w:r>
      <w:r>
        <w:rPr>
          <w:color w:val="000000"/>
        </w:rPr>
        <w:t>”</w:t>
      </w:r>
      <w:r>
        <w:rPr>
          <w:rFonts w:ascii="Times New Roman;serif" w:hAnsi="Times New Roman;serif"/>
          <w:b w:val="false"/>
          <w:color w:val="000000"/>
          <w:sz w:val="22"/>
        </w:rPr>
        <w:t>) substantially concurrently with any amounts incurred or transactions entered into (or consummated) in reliance on a provision of this Agreement that requires compliance with any such financial ratio or test (any such amounts (excluding amounts determined by reference to a specified percentage of Consolidated EBITDA or Consolidated Net Income, but including the Incurrence-Based Incremental Amount), the “</w:t>
      </w:r>
      <w:r>
        <w:rPr>
          <w:rFonts w:ascii="Times New Roman;serif" w:hAnsi="Times New Roman;serif"/>
          <w:b w:val="false"/>
          <w:color w:val="000000"/>
          <w:sz w:val="22"/>
          <w:u w:val="single"/>
        </w:rPr>
        <w:t>Incurrence-Based Amounts</w:t>
      </w:r>
      <w:r>
        <w:rPr>
          <w:color w:val="000000"/>
        </w:rPr>
        <w:t>”</w:t>
      </w:r>
      <w:r>
        <w:rPr>
          <w:rFonts w:ascii="Times New Roman;serif" w:hAnsi="Times New Roman;serif"/>
          <w:b w:val="false"/>
          <w:color w:val="000000"/>
          <w:sz w:val="22"/>
        </w:rPr>
        <w:t xml:space="preserve">), it is understood and agreed that (a) any Fixed Amount (and any cash proceeds thereof, including for the purposes of any “netting” calculation) shall be disregarded in the calculation of the financial ratio or test applicable to the relevant Incurrence-Based Amount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036955"/>
                <wp:effectExtent l="0" t="0" r="0" b="0"/>
                <wp:wrapNone/>
                <wp:docPr id="182" name="Frame18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 such substantially concurrent incurrence and (b) amounts incurred, or transactions entered into or consummated, in reliance on a Fixed Amount in a substantially concurrent transaction or a single transaction with the amount incurred, or transaction entered into or consummated, under the applicable Incurrence-Based Amount, shall not be given effect in calculating the applicable Incurrence-Based Amount.</w:t>
      </w:r>
    </w:p>
    <w:p>
      <w:pPr>
        <w:pStyle w:val="TextBody"/>
        <w:bidi w:val="0"/>
        <w:spacing w:lineRule="auto" w:line="240" w:before="0" w:after="240"/>
        <w:jc w:val="center"/>
        <w:rPr/>
      </w:pPr>
      <w:bookmarkStart w:id="68" w:name="ia2086e7a3afd43a2beebf1c11513a068"/>
      <w:bookmarkEnd w:id="68"/>
      <w:r>
        <w:rPr>
          <w:rFonts w:ascii="Times New Roman;serif" w:hAnsi="Times New Roman;serif"/>
          <w:b/>
          <w:color w:val="000000"/>
          <w:sz w:val="22"/>
        </w:rPr>
        <w:t>Article II</w:t>
      </w:r>
      <w:r>
        <w:rPr>
          <w:rFonts w:ascii="Times New Roman;serif" w:hAnsi="Times New Roman;serif"/>
          <w:b/>
          <w:color w:val="000000"/>
          <w:sz w:val="22"/>
          <w:u w:val="single"/>
        </w:rPr>
        <w:br/>
        <w:br/>
        <w:t>AMOUNT AND TERMS OF THE COMMITMENTS</w:t>
      </w:r>
    </w:p>
    <w:p>
      <w:pPr>
        <w:pStyle w:val="TextBody"/>
        <w:bidi w:val="0"/>
        <w:spacing w:lineRule="auto" w:line="240" w:before="0" w:after="0"/>
        <w:ind w:left="0" w:right="0" w:firstLine="720"/>
        <w:jc w:val="both"/>
        <w:rPr/>
      </w:pPr>
      <w:bookmarkStart w:id="69" w:name="icaf9c4148cd84df5a88153534d77913a"/>
      <w:bookmarkEnd w:id="69"/>
      <w:r>
        <w:rPr>
          <w:rFonts w:ascii="Times New Roman;serif" w:hAnsi="Times New Roman;serif"/>
          <w:b/>
          <w:color w:val="000000"/>
          <w:sz w:val="22"/>
        </w:rPr>
        <w:t>Section 2.1</w:t>
      </w:r>
      <w:r>
        <w:rPr>
          <w:rFonts w:ascii="Times New Roman;serif" w:hAnsi="Times New Roman;serif"/>
          <w:b/>
          <w:color w:val="000000"/>
          <w:sz w:val="22"/>
          <w:u w:val="single"/>
        </w:rPr>
        <w:t>General Description of Facilities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70" w:name="i98cc9b89ab724a1596a62f62c71eb107"/>
      <w:bookmarkEnd w:id="70"/>
      <w:r>
        <w:rPr>
          <w:rFonts w:ascii="Times New Roman;serif" w:hAnsi="Times New Roman;serif"/>
          <w:b w:val="false"/>
          <w:color w:val="000000"/>
          <w:sz w:val="22"/>
        </w:rPr>
        <w:t>(a)</w:t>
      </w:r>
      <w:r>
        <w:rPr>
          <w:rFonts w:ascii="Times New Roman;serif" w:hAnsi="Times New Roman;serif"/>
          <w:b w:val="false"/>
          <w:color w:val="000000"/>
          <w:sz w:val="22"/>
        </w:rPr>
        <w:t xml:space="preserve">Subject to and upon the terms and conditions herein set forth, (i) the Revolving Lenders hereby establish in favor of the Borrower a revolving credit facility pursuant to which each Revolving Lender severally agrees (to the extent of such Lender’s Revolving Commitment) to make Revolving Loans in Dollars to the Borrower in accordance with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(ii) each Issuing Bank may issue Letters of Credit in accordance with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(iii) the Swingline Lender may make Swingline Loans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 xml:space="preserve">; (iv) each Revolving Lender agrees to purchase a participation interest in the Letters of Credit and the Swingline Loans pursuant to the terms and conditions 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no event shall the aggregate principal amount of all outstanding Revolving Loans, Swingline Loans and outstanding LC Exposure exceed the Aggregate Revolving Commitment Amount in effect from time to time; and (v) the Term Lenders hereby establish in favor of Borrower the Term Commitments pursuant to which such Lenders shall make Term Loans in Dollars to the Borrower in accordance with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71" w:name="i70131744e6374c86969135deb0c7e179"/>
      <w:bookmarkEnd w:id="71"/>
      <w:r>
        <w:rPr>
          <w:rFonts w:ascii="Times New Roman;serif" w:hAnsi="Times New Roman;serif"/>
          <w:b w:val="false"/>
          <w:color w:val="000000"/>
          <w:sz w:val="22"/>
        </w:rPr>
        <w:t>(b)</w:t>
      </w:r>
      <w:r>
        <w:rPr>
          <w:rFonts w:ascii="Times New Roman;serif" w:hAnsi="Times New Roman;serif"/>
          <w:b w:val="false"/>
          <w:color w:val="000000"/>
          <w:sz w:val="22"/>
        </w:rPr>
        <w:t xml:space="preserve">Each Lender hereby agrees to fund and/or provide its share of the Commitments under this Agreement as set forth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hereto. </w:t>
      </w:r>
    </w:p>
    <w:p>
      <w:pPr>
        <w:pStyle w:val="TextBody"/>
        <w:bidi w:val="0"/>
        <w:spacing w:lineRule="auto" w:line="240" w:before="0" w:after="0"/>
        <w:ind w:left="0" w:right="0" w:firstLine="720"/>
        <w:jc w:val="both"/>
        <w:rPr/>
      </w:pPr>
      <w:bookmarkStart w:id="72" w:name="i203e3fc2981640dc9f053330d8b39d0d"/>
      <w:bookmarkEnd w:id="72"/>
      <w:r>
        <w:rPr>
          <w:rFonts w:ascii="Times New Roman;serif" w:hAnsi="Times New Roman;serif"/>
          <w:b/>
          <w:color w:val="000000"/>
          <w:sz w:val="22"/>
        </w:rPr>
        <w:t>Section 2.2</w:t>
      </w:r>
      <w:r>
        <w:rPr>
          <w:rFonts w:ascii="Times New Roman;serif" w:hAnsi="Times New Roman;serif"/>
          <w:b/>
          <w:color w:val="000000"/>
          <w:sz w:val="22"/>
          <w:u w:val="single"/>
        </w:rPr>
        <w:t>Revolving Loans</w:t>
      </w:r>
      <w:r>
        <w:rPr>
          <w:rFonts w:ascii="Times New Roman;serif" w:hAnsi="Times New Roman;serif"/>
          <w:b w:val="false"/>
          <w:color w:val="000000"/>
          <w:sz w:val="22"/>
        </w:rPr>
        <w:t>. Subject to the terms and conditions set forth herein, each Revolving Lender severally agrees to make Revolving Loans, ratably in proportion to its Pro Rata Share of the Aggregate Revolving Commitments, to the Borrower, from time to time during the Availability Period, in an aggregate principal amount outstanding at any time that will not result in (a) such Lender’s Revolving Credit Exposure exceeding such Lender’s Revolving Commitment or (b) the aggregate Revolving Credit Exposure of all Revolving Lenders exceeding the Aggregate Revolving Commitment Amount. During the Availability Period, the Borrower shall be entitled to borrow, prepay and reborrow Revolving Loans in accordance with the terms and conditions of this Agreement; provided that the Borrower may not borrow or reborrow should there exist a Default or Event of Default.</w:t>
      </w:r>
    </w:p>
    <w:p>
      <w:pPr>
        <w:pStyle w:val="TextBody"/>
        <w:bidi w:val="0"/>
        <w:spacing w:lineRule="auto" w:line="240" w:before="0" w:after="0"/>
        <w:ind w:left="0" w:right="0" w:firstLine="720"/>
        <w:jc w:val="both"/>
        <w:rPr/>
      </w:pPr>
      <w:bookmarkStart w:id="73" w:name="ib1e718c95d854deea8e8e4650cef6041"/>
      <w:bookmarkEnd w:id="73"/>
      <w:r>
        <w:rPr>
          <w:rFonts w:ascii="Times New Roman;serif" w:hAnsi="Times New Roman;serif"/>
          <w:b/>
          <w:color w:val="000000"/>
          <w:sz w:val="22"/>
        </w:rPr>
        <w:t>Section 2.3</w:t>
      </w:r>
      <w:r>
        <w:rPr>
          <w:rFonts w:ascii="Times New Roman;serif" w:hAnsi="Times New Roman;serif"/>
          <w:b/>
          <w:color w:val="000000"/>
          <w:sz w:val="22"/>
          <w:u w:val="single"/>
        </w:rPr>
        <w:t>Procedure for Revolving Borrowings</w:t>
      </w:r>
      <w:r>
        <w:rPr>
          <w:rFonts w:ascii="Times New Roman;serif" w:hAnsi="Times New Roman;serif"/>
          <w:b w:val="false"/>
          <w:color w:val="000000"/>
          <w:sz w:val="22"/>
        </w:rPr>
        <w:t xml:space="preserve">. The Borrower shall give the Administrative Agent written notice (or telephonic notice promptly confirmed in writing) of each Revolving Borrowing, substantially in the form of </w:t>
      </w:r>
      <w:r>
        <w:rPr>
          <w:rFonts w:ascii="Times New Roman;serif" w:hAnsi="Times New Roman;serif"/>
          <w:b w:val="false"/>
          <w:color w:val="000000"/>
          <w:sz w:val="22"/>
          <w:u w:val="single"/>
        </w:rPr>
        <w:t>Exhibit 2.3</w:t>
      </w:r>
      <w:r>
        <w:rPr>
          <w:color w:val="000000"/>
        </w:rPr>
        <w:t xml:space="preserve"> </w:t>
      </w:r>
      <w:r>
        <w:rPr>
          <w:rFonts w:ascii="Times New Roman;serif" w:hAnsi="Times New Roman;serif"/>
          <w:b w:val="false"/>
          <w:color w:val="000000"/>
          <w:sz w:val="22"/>
        </w:rPr>
        <w:t>attached hereto (a “</w:t>
      </w:r>
      <w:r>
        <w:rPr>
          <w:rFonts w:ascii="Times New Roman;serif" w:hAnsi="Times New Roman;serif"/>
          <w:b w:val="false"/>
          <w:color w:val="000000"/>
          <w:sz w:val="22"/>
          <w:u w:val="single"/>
        </w:rPr>
        <w:t>Notice of Revolving Borrowing</w:t>
      </w:r>
      <w:r>
        <w:rPr>
          <w:color w:val="000000"/>
        </w:rPr>
        <w:t>”</w:t>
      </w:r>
      <w:r>
        <w:rPr>
          <w:rFonts w:ascii="Times New Roman;serif" w:hAnsi="Times New Roman;serif"/>
          <w:b w:val="false"/>
          <w:color w:val="000000"/>
          <w:sz w:val="22"/>
        </w:rPr>
        <w:t xml:space="preserve">), (x) prior to 12:00 p.m. one (1) Business Day prior to the requested date of each Base Rate Borrowing (other than with respect to the Closing Date, for which such request shall be required to be provided no later than 12:00 p.m. on the Closing Date) and (y) prior to 11:00 a.m. three (3) Business Days prior to the requested date of each SOFR Borrowing. Each Notice of Revolving Borrowing shall be irrevocable and shall specify (i) the aggregate principal amount of such Borrowing, (ii) the date of such Borrowing (which shall be a Business Day), (iii) the Type of such Revolving Loan comprising such Borrowing and (iv) in the case of a SOFR Borrowing, the duration of the initial Interest Period applicable thereto (subject to the provisions of the definition of Interest Period). Each Revolving Borrowing shall consist entirely of Base Rate Loans or SOFR Loans, as the Borrower may request. The aggregate principal amount of each SOFR Borrowing shall not be less than $2,000,000 or a larger multiple of $500,000, and the aggregate principal amount of each Base Rate Borrowing shall not be less than $1,000,000 or a larger multiple of $100,000;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Base Rate Loans made pursuant to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2.22(d)</w:t>
      </w:r>
      <w:r>
        <w:rPr>
          <w:color w:val="000000"/>
        </w:rPr>
        <w:t xml:space="preserve"> </w:t>
      </w:r>
      <w:r>
        <w:rPr>
          <w:rFonts w:ascii="Times New Roman;serif" w:hAnsi="Times New Roman;serif"/>
          <w:b w:val="false"/>
          <w:color w:val="000000"/>
          <w:sz w:val="22"/>
        </w:rPr>
        <w:t xml:space="preserve">may be made in lesser amounts as provided therein. At no time shall the total number of SOFR Borrowings outstanding at any time exceed four (4). Promptly following the receipt of a Notice of Revolving Borrowing in accordance herewith, the Administrative Agent shall advise each Revolving Lender of the details thereof and the amount of such Lender’s Revolving Loan to be made as part of the requested Revolving Borrowing. </w:t>
      </w:r>
    </w:p>
    <w:p>
      <w:pPr>
        <w:pStyle w:val="TextBody"/>
        <w:bidi w:val="0"/>
        <w:spacing w:lineRule="auto" w:line="240" w:before="0" w:after="240"/>
        <w:ind w:left="0" w:right="0" w:firstLine="720"/>
        <w:jc w:val="both"/>
        <w:rPr/>
      </w:pPr>
      <w:bookmarkStart w:id="74" w:name="ifb31c75131004a76bc5934a5eb44f4f4"/>
      <w:bookmarkEnd w:id="74"/>
      <w:r>
        <w:rPr>
          <w:rFonts w:ascii="Times New Roman;serif" w:hAnsi="Times New Roman;serif"/>
          <w:b/>
          <w:color w:val="000000"/>
          <w:sz w:val="22"/>
        </w:rPr>
        <w:t>Section 2.4</w:t>
      </w:r>
      <w:r>
        <w:rPr>
          <w:rFonts w:ascii="Times New Roman;serif" w:hAnsi="Times New Roman;serif"/>
          <w:b/>
          <w:color w:val="000000"/>
          <w:sz w:val="22"/>
          <w:u w:val="single"/>
        </w:rPr>
        <w:t>Swingline Commitment.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036955"/>
                <wp:effectExtent l="0" t="0" r="0" b="0"/>
                <wp:wrapNone/>
                <wp:docPr id="183" name="Frame18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ind w:left="0" w:right="0" w:firstLine="1440"/>
        <w:jc w:val="both"/>
        <w:rPr/>
      </w:pPr>
      <w:bookmarkStart w:id="75" w:name="ifecd3d1f7d364ece9b48048c28dea9de"/>
      <w:bookmarkEnd w:id="75"/>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set forth herein, the Swingline Lender may, in its sole discretion,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 of all Revolving Lenders; provided that the Swingline Lender shall not be required to make a Swingline Loan to refinance an outstanding Swingline Loan. The Borrower shall be entitled to borrow, repay and reborrow Swingline Loans in accordance with the terms and conditions of this Agreement.</w:t>
      </w:r>
    </w:p>
    <w:p>
      <w:pPr>
        <w:pStyle w:val="TextBody"/>
        <w:bidi w:val="0"/>
        <w:spacing w:lineRule="auto" w:line="240" w:before="0" w:after="240"/>
        <w:ind w:left="0" w:right="0" w:firstLine="1440"/>
        <w:jc w:val="both"/>
        <w:rPr/>
      </w:pPr>
      <w:bookmarkStart w:id="76" w:name="i958d4d948886449d95671285e6dbf026"/>
      <w:bookmarkEnd w:id="76"/>
      <w:r>
        <w:rPr>
          <w:rFonts w:ascii="Times New Roman;serif" w:hAnsi="Times New Roman;serif"/>
          <w:b w:val="false"/>
          <w:color w:val="000000"/>
          <w:sz w:val="22"/>
        </w:rPr>
        <w:t>(b)</w:t>
      </w:r>
      <w:r>
        <w:rPr>
          <w:rFonts w:ascii="Times New Roman;serif" w:hAnsi="Times New Roman;serif"/>
          <w:b w:val="false"/>
          <w:color w:val="000000"/>
          <w:sz w:val="22"/>
        </w:rPr>
        <w:t xml:space="preserve">The Borrower shall give the Administrative Agent written notice (or telephonic notice promptly confirmed in writing) of each Swingline Borrowing, substantially in the form of </w:t>
      </w:r>
      <w:r>
        <w:rPr>
          <w:rFonts w:ascii="Times New Roman;serif" w:hAnsi="Times New Roman;serif"/>
          <w:b w:val="false"/>
          <w:color w:val="000000"/>
          <w:sz w:val="22"/>
          <w:u w:val="single"/>
        </w:rPr>
        <w:t>Exhibit 2.4</w:t>
      </w:r>
      <w:r>
        <w:rPr>
          <w:color w:val="000000"/>
        </w:rPr>
        <w:t xml:space="preserve"> </w:t>
      </w:r>
      <w:r>
        <w:rPr>
          <w:rFonts w:ascii="Times New Roman;serif" w:hAnsi="Times New Roman;serif"/>
          <w:b w:val="false"/>
          <w:color w:val="000000"/>
          <w:sz w:val="22"/>
        </w:rPr>
        <w:t>attached hereto (a “</w:t>
      </w:r>
      <w:r>
        <w:rPr>
          <w:rFonts w:ascii="Times New Roman;serif" w:hAnsi="Times New Roman;serif"/>
          <w:b w:val="false"/>
          <w:color w:val="000000"/>
          <w:sz w:val="22"/>
          <w:u w:val="single"/>
        </w:rPr>
        <w:t>Notice of Swingline Borrowing</w:t>
      </w:r>
      <w:r>
        <w:rPr>
          <w:color w:val="000000"/>
        </w:rPr>
        <w:t>”</w:t>
      </w:r>
      <w:r>
        <w:rPr>
          <w:rFonts w:ascii="Times New Roman;serif" w:hAnsi="Times New Roman;serif"/>
          <w:b w:val="false"/>
          <w:color w:val="000000"/>
          <w:sz w:val="22"/>
        </w:rPr>
        <w:t>), prior to 10:00 a.m.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on the requested date of such Swingline Borrowing.</w:t>
      </w:r>
    </w:p>
    <w:p>
      <w:pPr>
        <w:pStyle w:val="TextBody"/>
        <w:bidi w:val="0"/>
        <w:spacing w:lineRule="auto" w:line="240" w:before="0" w:after="240"/>
        <w:ind w:left="0" w:right="0" w:firstLine="1440"/>
        <w:jc w:val="both"/>
        <w:rPr/>
      </w:pPr>
      <w:bookmarkStart w:id="77" w:name="i1f89589907594383be3b7b5eb27434a7"/>
      <w:bookmarkEnd w:id="77"/>
      <w:r>
        <w:rPr>
          <w:rFonts w:ascii="Times New Roman;serif" w:hAnsi="Times New Roman;serif"/>
          <w:b w:val="false"/>
          <w:color w:val="000000"/>
          <w:sz w:val="22"/>
        </w:rPr>
        <w:t>(c)</w:t>
      </w:r>
      <w:r>
        <w:rPr>
          <w:rFonts w:ascii="Times New Roman;serif" w:hAnsi="Times New Roman;serif"/>
          <w:b w:val="false"/>
          <w:color w:val="000000"/>
          <w:sz w:val="22"/>
        </w:rPr>
        <w:t xml:space="preserve">The Swingline Lender, at any time and from time to time in its sole discretion, may, but in no event no less frequently than once each calendar week shall, on behalf of the Borrower (which hereby irrevocably authorizes and directs the Swingline Lender to act on its behalf), give a Notice of Revolving Borrowing to the Administrative Agent requesting the Revolving Lenders (including the Swingline Lender) to make Base Rate Loans in an amount equal to the unpaid principal amount of any Swingline Loan. Each Revolving Lender will make the proceeds of its Base Rate Loan included in such Borrowing available to the Administrative Agent for the account of the Swingline Lender in accordance with </w:t>
      </w:r>
      <w:r>
        <w:rPr>
          <w:rFonts w:ascii="Times New Roman;serif" w:hAnsi="Times New Roman;serif"/>
          <w:b w:val="false"/>
          <w:color w:val="000000"/>
          <w:sz w:val="22"/>
          <w:u w:val="single"/>
        </w:rPr>
        <w:t>Section 2.6</w:t>
      </w:r>
      <w:r>
        <w:rPr>
          <w:rFonts w:ascii="Times New Roman;serif" w:hAnsi="Times New Roman;serif"/>
          <w:b w:val="false"/>
          <w:color w:val="000000"/>
          <w:sz w:val="22"/>
        </w:rPr>
        <w:t>, which will be used solely for the repayment of such Swingline Loan.</w:t>
      </w:r>
    </w:p>
    <w:p>
      <w:pPr>
        <w:pStyle w:val="TextBody"/>
        <w:bidi w:val="0"/>
        <w:spacing w:lineRule="auto" w:line="240" w:before="0" w:after="240"/>
        <w:ind w:left="0" w:right="0" w:firstLine="1440"/>
        <w:jc w:val="both"/>
        <w:rPr/>
      </w:pPr>
      <w:bookmarkStart w:id="78" w:name="i5dc6051febc0485e88537dda5c645637"/>
      <w:bookmarkEnd w:id="78"/>
      <w:r>
        <w:rPr>
          <w:rFonts w:ascii="Times New Roman;serif" w:hAnsi="Times New Roman;serif"/>
          <w:b w:val="false"/>
          <w:color w:val="000000"/>
          <w:sz w:val="22"/>
        </w:rPr>
        <w:t>(d)</w:t>
      </w:r>
      <w:r>
        <w:rPr>
          <w:rFonts w:ascii="Times New Roman;serif" w:hAnsi="Times New Roman;serif"/>
          <w:b w:val="false"/>
          <w:color w:val="000000"/>
          <w:sz w:val="22"/>
        </w:rPr>
        <w:t>If for any reason a Base Rate Borrowing may not be (as determined in the sole discretion of the Administrative Agent), or is not, made in accordance with the foregoing provisions, then each Revolving Lender (other than the Swingline Lender) shall purchase an undivided participating interest in such Swingline Loan in an amount equal to its Pro Rata Share thereof on the date that such Base Rate Borrowing should have occurred. On the date of such required purchase, each Revolving Lender shall promptly transfer, in immediately available funds, the amount of its participating interest to the Administrative Agent for the account of the Swingline Lender.</w:t>
      </w:r>
    </w:p>
    <w:p>
      <w:pPr>
        <w:pStyle w:val="TextBody"/>
        <w:bidi w:val="0"/>
        <w:spacing w:lineRule="auto" w:line="240" w:before="0" w:after="240"/>
        <w:ind w:left="0" w:right="0" w:firstLine="1440"/>
        <w:jc w:val="both"/>
        <w:rPr/>
      </w:pPr>
      <w:bookmarkStart w:id="79" w:name="i9e4fa6a1c1b9446ca87209cc0e4a2240"/>
      <w:bookmarkEnd w:id="79"/>
      <w:r>
        <w:rPr>
          <w:rFonts w:ascii="Times New Roman;serif" w:hAnsi="Times New Roman;serif"/>
          <w:b w:val="false"/>
          <w:color w:val="000000"/>
          <w:sz w:val="22"/>
        </w:rPr>
        <w:t>(e)</w:t>
      </w:r>
      <w:r>
        <w:rPr>
          <w:rFonts w:ascii="Times New Roman;serif" w:hAnsi="Times New Roman;serif"/>
          <w:b w:val="false"/>
          <w:color w:val="000000"/>
          <w:sz w:val="22"/>
        </w:rPr>
        <w:t xml:space="preserve">Each Revolving Lender’s obligation to make a Base Rate Loan pursuant to subsection (c) of this Section or to purchase participating interests pursuant to subsection (d) of this Section shall be absolute and unconditional and shall not be affected by any circumstance, including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Revolving Lender’s Revolving Commitment, (iii) the existence (or alleged existence) of any event or condition which has had or could reasonably be expected to have a Material Adverse Effect, (iv) any breach of this Agreement or any other Loan Document by any Loan Party, the Administrative Agent or any Revolving Lender or (v) any other circumstance, happening or event whatsoever, whether or not similar to any of the foregoing. If such amount is not in fact made available to the Swingline Lender by any Revolving Lender, the Swingline Lender shall be entitled to recover such amount on demand from such Lender, together with accrued interest thereon for each day from the date of demand thereof (x) at the Federal Funds Rate until the second Business Day after such demand and (y) at the Base Rate at all times thereafter. Until such time as such Revolving Lender makes its required payment, the Swingline Lender shall be deemed to continue to have outstanding Swingline Loans in the amount of the unpaid participation for all purposes of the Loan Documents. In addition, such Revolving Lender shall be deemed to have assigned any and all payments made of principal and interest on its Loans and any other amounts due to it hereunder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036955"/>
                <wp:effectExtent l="0" t="0" r="0" b="0"/>
                <wp:wrapNone/>
                <wp:docPr id="184" name="Frame18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Swingline Lender to fund the amount of such Lender’s participation interest in such Swingline Loans that such Lender failed to fund pursuant to this Section, until such amount has been purchased in full.</w:t>
      </w:r>
    </w:p>
    <w:p>
      <w:pPr>
        <w:pStyle w:val="TextBody"/>
        <w:bidi w:val="0"/>
        <w:spacing w:lineRule="auto" w:line="240" w:before="0" w:after="0"/>
        <w:ind w:left="0" w:right="0" w:firstLine="720"/>
        <w:jc w:val="both"/>
        <w:rPr/>
      </w:pPr>
      <w:bookmarkStart w:id="80" w:name="i5481bd2ed31044ff947f2d69a10c430a"/>
      <w:bookmarkEnd w:id="80"/>
      <w:r>
        <w:rPr>
          <w:rFonts w:ascii="Times New Roman;serif" w:hAnsi="Times New Roman;serif"/>
          <w:b/>
          <w:color w:val="000000"/>
          <w:sz w:val="22"/>
        </w:rPr>
        <w:t>Section 2.5</w:t>
      </w:r>
      <w:r>
        <w:rPr>
          <w:rFonts w:ascii="Times New Roman;serif" w:hAnsi="Times New Roman;serif"/>
          <w:b/>
          <w:color w:val="000000"/>
          <w:sz w:val="22"/>
          <w:u w:val="single"/>
        </w:rPr>
        <w:t>Term Loan Commitments; Delayed Draw Term Loan Commitments; Procedure for Borrowing of Delayed Draw Term Loans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81" w:name="idf8872d123ee4d8dbe8a1a5aa6472999"/>
      <w:bookmarkEnd w:id="81"/>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and conditions set forth herein, each Term Lender severally agrees to make a single term loan to the Borrower on the Closing Date in a principal amount equal to the Term A Loan Commitment of such Term Lender. Amounts borrowed under this </w:t>
      </w:r>
      <w:r>
        <w:rPr>
          <w:rFonts w:ascii="Times New Roman;serif" w:hAnsi="Times New Roman;serif"/>
          <w:b w:val="false"/>
          <w:color w:val="000000"/>
          <w:sz w:val="22"/>
          <w:u w:val="single"/>
        </w:rPr>
        <w:t>Section 2.5(a)</w:t>
      </w:r>
      <w:r>
        <w:rPr>
          <w:color w:val="000000"/>
        </w:rPr>
        <w:t xml:space="preserve"> </w:t>
      </w:r>
      <w:r>
        <w:rPr>
          <w:rFonts w:ascii="Times New Roman;serif" w:hAnsi="Times New Roman;serif"/>
          <w:b w:val="false"/>
          <w:color w:val="000000"/>
          <w:sz w:val="22"/>
        </w:rPr>
        <w:t xml:space="preserve">(and any other Incremental Term Loans made pursuant to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and repaid or prepaid may not be reborrowed. The Term A Loan may be, from time to time, Base Rate Loans or SOFR Loans or a combination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 the Closing Date the Term A Loan shall be a SOFR Loan with an Interest Period of one (1) month;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initial one (1) month Interest Period for the SOFR Borrowing</w:t>
      </w:r>
      <w:r>
        <w:rPr>
          <w:color w:val="000000"/>
        </w:rPr>
        <w:t xml:space="preserve"> </w:t>
      </w:r>
      <w:r>
        <w:rPr>
          <w:rFonts w:ascii="Times New Roman;serif" w:hAnsi="Times New Roman;serif"/>
          <w:b w:val="false"/>
          <w:color w:val="000000"/>
          <w:sz w:val="22"/>
        </w:rPr>
        <w:t xml:space="preserve">made on the Closing Date shall continue (at the same rate) from the one (1) month anniversary of the Closing Date until January 31, 2026 (it being understood and agreed that the first interest payment with respect to such initial period (the initial month plus any “stub period” prior to January 31, 2026) shall be due and owing on January 31, 2026). The execution and delivery of this Agreement by the Borrower and the satisfaction of all conditions precedent set forth in </w:t>
      </w:r>
      <w:r>
        <w:rPr>
          <w:rFonts w:ascii="Times New Roman;serif" w:hAnsi="Times New Roman;serif"/>
          <w:b w:val="false"/>
          <w:color w:val="000000"/>
          <w:sz w:val="22"/>
          <w:u w:val="single"/>
        </w:rPr>
        <w:t>Sections 3.1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3.2</w:t>
      </w:r>
      <w:r>
        <w:rPr>
          <w:color w:val="000000"/>
        </w:rPr>
        <w:t xml:space="preserve"> </w:t>
      </w:r>
      <w:r>
        <w:rPr>
          <w:rFonts w:ascii="Times New Roman;serif" w:hAnsi="Times New Roman;serif"/>
          <w:b w:val="false"/>
          <w:color w:val="000000"/>
          <w:sz w:val="22"/>
        </w:rPr>
        <w:t xml:space="preserve">(including, for the avoidance of doubt, a Notice of Term Loan Borrowing) hereof shall be deemed to constitute the Borrower’s request to borrow the Term A Loan on the Closing Date. </w:t>
      </w:r>
    </w:p>
    <w:p>
      <w:pPr>
        <w:pStyle w:val="TextBody"/>
        <w:bidi w:val="0"/>
        <w:spacing w:lineRule="auto" w:line="240" w:before="0" w:after="240"/>
        <w:ind w:left="0" w:right="0" w:firstLine="1440"/>
        <w:jc w:val="both"/>
        <w:rPr/>
      </w:pPr>
      <w:bookmarkStart w:id="82" w:name="iae2ae40bea7a4e8aa219234410d9c7d9"/>
      <w:bookmarkEnd w:id="82"/>
      <w:r>
        <w:rPr>
          <w:rFonts w:ascii="Times New Roman;serif" w:hAnsi="Times New Roman;serif"/>
          <w:b w:val="false"/>
          <w:color w:val="000000"/>
          <w:sz w:val="22"/>
        </w:rPr>
        <w:t>(b)</w:t>
      </w:r>
      <w:r>
        <w:rPr>
          <w:rFonts w:ascii="Times New Roman;serif" w:hAnsi="Times New Roman;serif"/>
          <w:b w:val="false"/>
          <w:color w:val="000000"/>
          <w:sz w:val="22"/>
        </w:rPr>
        <w:t xml:space="preserve">Subject to the terms and conditions set forth herein, each Delayed Draw Term Lender severally agrees to make Delayed Draw Term Loans to the Borrower from time to time in an aggregate principal amount not to exceed the Delayed Draw Term Loan Commitment of such Lender (but in any event limited to a maximum of six (6) drawings) until the Delayed Draw Term Commitment Termination Date. Amounts borrowed under this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and repaid or prepaid may not be reborrowed. Once funded, Delayed Draw Term Loans shall be deemed to be a separate Class of Term Loans for all purposes hereunder.</w:t>
      </w:r>
    </w:p>
    <w:p>
      <w:pPr>
        <w:pStyle w:val="TextBody"/>
        <w:bidi w:val="0"/>
        <w:spacing w:lineRule="auto" w:line="240" w:before="0" w:after="240"/>
        <w:ind w:left="0" w:right="0" w:firstLine="1440"/>
        <w:jc w:val="both"/>
        <w:rPr/>
      </w:pPr>
      <w:bookmarkStart w:id="83" w:name="i66b652094cca4dca9b9f8d063a537d06"/>
      <w:bookmarkEnd w:id="83"/>
      <w:r>
        <w:rPr>
          <w:rFonts w:ascii="Times New Roman;serif" w:hAnsi="Times New Roman;serif"/>
          <w:b w:val="false"/>
          <w:color w:val="000000"/>
          <w:sz w:val="22"/>
        </w:rPr>
        <w:t>(c)</w:t>
      </w:r>
      <w:r>
        <w:rPr>
          <w:rFonts w:ascii="Times New Roman;serif" w:hAnsi="Times New Roman;serif"/>
          <w:b w:val="false"/>
          <w:color w:val="000000"/>
          <w:sz w:val="22"/>
        </w:rPr>
        <w:t xml:space="preserve">The Borrower shall give the Administrative Agent written notice (or telephonic notice promptly confirmed in writing) of a Delayed Draw Term Loan Borrowing, substantially in the form of </w:t>
      </w:r>
      <w:r>
        <w:rPr>
          <w:rFonts w:ascii="Times New Roman;serif" w:hAnsi="Times New Roman;serif"/>
          <w:b w:val="false"/>
          <w:color w:val="000000"/>
          <w:sz w:val="22"/>
          <w:u w:val="single"/>
        </w:rPr>
        <w:t>Exhibit 2.5</w:t>
      </w:r>
      <w:r>
        <w:rPr>
          <w:color w:val="000000"/>
        </w:rPr>
        <w:t xml:space="preserve"> </w:t>
      </w:r>
      <w:r>
        <w:rPr>
          <w:rFonts w:ascii="Times New Roman;serif" w:hAnsi="Times New Roman;serif"/>
          <w:b w:val="false"/>
          <w:color w:val="000000"/>
          <w:sz w:val="22"/>
        </w:rPr>
        <w:t>attached hereto (a “</w:t>
      </w:r>
      <w:r>
        <w:rPr>
          <w:rFonts w:ascii="Times New Roman;serif" w:hAnsi="Times New Roman;serif"/>
          <w:b w:val="false"/>
          <w:color w:val="000000"/>
          <w:sz w:val="22"/>
          <w:u w:val="single"/>
        </w:rPr>
        <w:t>Notice of Term Loan Borrowing</w:t>
      </w:r>
      <w:r>
        <w:rPr>
          <w:color w:val="000000"/>
        </w:rPr>
        <w:t>”</w:t>
      </w:r>
      <w:r>
        <w:rPr>
          <w:rFonts w:ascii="Times New Roman;serif" w:hAnsi="Times New Roman;serif"/>
          <w:b w:val="false"/>
          <w:color w:val="000000"/>
          <w:sz w:val="22"/>
        </w:rPr>
        <w:t xml:space="preserve">), (x) prior to 11:00 a.m. one (1) Business Day prior to the requested date if such Borrowing is to be a Base Rate Borrowing and (y) prior to 11:00 a.m. three (3) Business Days (or such shorter period as may be agreed by the Administrative Agent) prior to the requested date if such Borrowing is to be a SOFR Borrowing. The aggregate principal amount of each Delayed Draw Term Loan Borrowing shall not be less than $20,000,000 or a larger multiple of $1,000,000 (unless such Borrowing is for the full remaining amount of the Delayed Draw Term Loan Commitment). The Notice of Term Loan Borrowing shall be irrevocable and shall specify (i) the aggregate principal amount of such Borrowing, (ii) the date of such Borrowing (which shall be a Business Day), (iii) subject to clause (b) above, the Type(s) of such Delayed Draw Term Loan comprising such Borrowing, (iv) in the case of a SOFR Borrowing, the duration of the initial Interest Period applicable thereto (subject to clause (b) above) and (v) the applicable use of proceeds of such Borrowing;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Notice of Term Loan Borrowing may be conditioned on the consummation of the event or transaction identified pursuant to the foregoing </w:t>
      </w:r>
      <w:r>
        <w:rPr>
          <w:rFonts w:ascii="Times New Roman;serif" w:hAnsi="Times New Roman;serif"/>
          <w:b w:val="false"/>
          <w:color w:val="000000"/>
          <w:sz w:val="22"/>
          <w:u w:val="single"/>
        </w:rPr>
        <w:t>clause (v)</w:t>
      </w:r>
      <w:r>
        <w:rPr>
          <w:rFonts w:ascii="Times New Roman;serif" w:hAnsi="Times New Roman;serif"/>
          <w:b w:val="false"/>
          <w:color w:val="000000"/>
          <w:sz w:val="22"/>
        </w:rPr>
        <w:t xml:space="preserve">. Promptly following the receipt of a Notice of Term Loan Borrowing in accordance herewith, the Administrative Agent shall advise each Delayed Draw Term Lender of the details thereof and the amount of such Lender’s Delayed Draw Term Loan to be made as part of the requested Delayed Draw Term Loan Borrowing. </w:t>
      </w:r>
    </w:p>
    <w:p>
      <w:pPr>
        <w:pStyle w:val="TextBody"/>
        <w:bidi w:val="0"/>
        <w:spacing w:lineRule="auto" w:line="240" w:before="0" w:after="240"/>
        <w:ind w:left="0" w:right="0" w:firstLine="720"/>
        <w:jc w:val="both"/>
        <w:rPr/>
      </w:pPr>
      <w:bookmarkStart w:id="84" w:name="ib72ee16641434bcba5f803e5e3a08ffb"/>
      <w:bookmarkEnd w:id="84"/>
      <w:r>
        <w:rPr>
          <w:rFonts w:ascii="Times New Roman;serif" w:hAnsi="Times New Roman;serif"/>
          <w:b/>
          <w:color w:val="000000"/>
          <w:sz w:val="22"/>
        </w:rPr>
        <w:t>Section 2.6</w:t>
      </w:r>
      <w:r>
        <w:rPr>
          <w:rFonts w:ascii="Times New Roman;serif" w:hAnsi="Times New Roman;serif"/>
          <w:b/>
          <w:color w:val="000000"/>
          <w:sz w:val="22"/>
          <w:u w:val="single"/>
        </w:rPr>
        <w:t>Funding of Borrowings.</w:t>
      </w:r>
    </w:p>
    <w:p>
      <w:pPr>
        <w:pStyle w:val="TextBody"/>
        <w:bidi w:val="0"/>
        <w:spacing w:lineRule="auto" w:line="240" w:before="0" w:after="240"/>
        <w:ind w:left="0" w:right="0" w:firstLine="1440"/>
        <w:jc w:val="both"/>
        <w:rPr/>
      </w:pPr>
      <w:bookmarkStart w:id="85" w:name="ie3eb55b01d754e93ba551213b2d679d9"/>
      <w:bookmarkEnd w:id="85"/>
      <w:r>
        <w:rPr>
          <w:rFonts w:ascii="Times New Roman;serif" w:hAnsi="Times New Roman;serif"/>
          <w:b w:val="false"/>
          <w:color w:val="000000"/>
          <w:sz w:val="22"/>
        </w:rPr>
        <w:t>(a)</w:t>
      </w:r>
      <w:r>
        <w:rPr>
          <w:rFonts w:ascii="Times New Roman;serif" w:hAnsi="Times New Roman;serif"/>
          <w:b w:val="false"/>
          <w:color w:val="000000"/>
          <w:sz w:val="22"/>
        </w:rPr>
        <w:t xml:space="preserve">Each Lender will make available each Loan to be made by it hereunder on the proposed date thereof by wire transfer in immediately available funds by 11:00 a.m. to the Administrative Agent at the Payment Office; provided that the Swingline Loans will be made as set forth in </w:t>
      </w:r>
      <w:r>
        <w:rPr>
          <w:rFonts w:ascii="Times New Roman;serif" w:hAnsi="Times New Roman;serif"/>
          <w:b w:val="false"/>
          <w:color w:val="000000"/>
          <w:sz w:val="22"/>
          <w:u w:val="single"/>
        </w:rPr>
        <w:t>Section 2.4</w:t>
      </w:r>
      <w:r>
        <w:rPr>
          <w:rFonts w:ascii="Times New Roman;serif" w:hAnsi="Times New Roman;serif"/>
          <w:b w:val="false"/>
          <w:color w:val="000000"/>
          <w:sz w:val="22"/>
        </w:rPr>
        <w:t>. The Administrative Agent will make such Loans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036955"/>
                <wp:effectExtent l="0" t="0" r="0" b="0"/>
                <wp:wrapNone/>
                <wp:docPr id="185" name="Frame18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240"/>
        <w:ind w:left="0" w:right="0" w:firstLine="1440"/>
        <w:jc w:val="both"/>
        <w:rPr/>
      </w:pPr>
      <w:bookmarkStart w:id="86" w:name="i186b7999ba384ddc8c9292b30c55c79b"/>
      <w:bookmarkEnd w:id="86"/>
      <w:r>
        <w:rPr>
          <w:rFonts w:ascii="Times New Roman;serif" w:hAnsi="Times New Roman;serif"/>
          <w:b w:val="false"/>
          <w:color w:val="000000"/>
          <w:sz w:val="22"/>
        </w:rPr>
        <w:t>(b)</w:t>
      </w:r>
      <w:r>
        <w:rPr>
          <w:rFonts w:ascii="Times New Roman;serif" w:hAnsi="Times New Roman;serif"/>
          <w:b w:val="false"/>
          <w:color w:val="000000"/>
          <w:sz w:val="22"/>
        </w:rPr>
        <w:t>Unless the Administrative Agent shall have been notified by any Lender prior to 5:00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pStyle w:val="TextBody"/>
        <w:bidi w:val="0"/>
        <w:spacing w:lineRule="auto" w:line="240" w:before="0" w:after="240"/>
        <w:ind w:left="0" w:right="0" w:firstLine="1440"/>
        <w:jc w:val="both"/>
        <w:rPr/>
      </w:pPr>
      <w:bookmarkStart w:id="87" w:name="i45f242d93e0f4137900699b18749e6db"/>
      <w:bookmarkEnd w:id="87"/>
      <w:r>
        <w:rPr>
          <w:rFonts w:ascii="Times New Roman;serif" w:hAnsi="Times New Roman;serif"/>
          <w:b w:val="false"/>
          <w:color w:val="000000"/>
          <w:sz w:val="22"/>
        </w:rPr>
        <w:t>(c)</w:t>
      </w:r>
      <w:r>
        <w:rPr>
          <w:rFonts w:ascii="Times New Roman;serif" w:hAnsi="Times New Roman;serif"/>
          <w:b w:val="false"/>
          <w:color w:val="000000"/>
          <w:sz w:val="22"/>
        </w:rPr>
        <w:t>All Revolving Borrowings shall be made by the Revolving Lenders on the basis of their respective Pro Rata Shares. All Term Loan Borrowings of any Class shall be made by the Term Lenders that have a Term Loan Commitment of such Class on the basis of their respective Pro Rata Shares. No Lender shall be responsible for any default by any other Lender in its obligations hereunder, and each Lender shall be obligated to make its Loans provided to be made by it hereunder, regardless of the failure of any other Lender to make its Loans hereunder.</w:t>
      </w:r>
    </w:p>
    <w:p>
      <w:pPr>
        <w:pStyle w:val="TextBody"/>
        <w:bidi w:val="0"/>
        <w:spacing w:lineRule="auto" w:line="240" w:before="0" w:after="240"/>
        <w:ind w:left="0" w:right="0" w:firstLine="720"/>
        <w:jc w:val="both"/>
        <w:rPr/>
      </w:pPr>
      <w:bookmarkStart w:id="88" w:name="if5b379f7cae041e1af726af04a285e5e"/>
      <w:bookmarkEnd w:id="88"/>
      <w:r>
        <w:rPr>
          <w:rFonts w:ascii="Times New Roman;serif" w:hAnsi="Times New Roman;serif"/>
          <w:b/>
          <w:color w:val="000000"/>
          <w:sz w:val="22"/>
        </w:rPr>
        <w:t>Section 2.7</w:t>
      </w:r>
      <w:r>
        <w:rPr>
          <w:rFonts w:ascii="Times New Roman;serif" w:hAnsi="Times New Roman;serif"/>
          <w:b/>
          <w:color w:val="000000"/>
          <w:sz w:val="22"/>
          <w:u w:val="single"/>
        </w:rPr>
        <w:t>Interest Elections.</w:t>
      </w:r>
    </w:p>
    <w:p>
      <w:pPr>
        <w:pStyle w:val="TextBody"/>
        <w:bidi w:val="0"/>
        <w:spacing w:lineRule="auto" w:line="240" w:before="0" w:after="240"/>
        <w:ind w:left="0" w:right="0" w:firstLine="1440"/>
        <w:jc w:val="both"/>
        <w:rPr/>
      </w:pPr>
      <w:bookmarkStart w:id="89" w:name="iabc68e32f1be4d63a3e16006dc305f76"/>
      <w:bookmarkEnd w:id="89"/>
      <w:r>
        <w:rPr>
          <w:rFonts w:ascii="Times New Roman;serif" w:hAnsi="Times New Roman;serif"/>
          <w:b w:val="false"/>
          <w:color w:val="000000"/>
          <w:sz w:val="22"/>
        </w:rPr>
        <w:t>(a)</w:t>
      </w:r>
      <w:r>
        <w:rPr>
          <w:rFonts w:ascii="Times New Roman;serif" w:hAnsi="Times New Roman;serif"/>
          <w:b w:val="false"/>
          <w:color w:val="000000"/>
          <w:sz w:val="22"/>
        </w:rPr>
        <w:t>Each Borrowing initially shall be of the Type specified in the applicable Notice of Borrowing. Thereafter, the Borrower may elect to convert such Borrowing into a different Type or to continue such Borrowing, all as provided in this Section.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w:t>
      </w:r>
    </w:p>
    <w:p>
      <w:pPr>
        <w:pStyle w:val="TextBody"/>
        <w:bidi w:val="0"/>
        <w:spacing w:lineRule="auto" w:line="240" w:before="0" w:after="240"/>
        <w:ind w:left="0" w:right="0" w:firstLine="1440"/>
        <w:jc w:val="both"/>
        <w:rPr/>
      </w:pPr>
      <w:bookmarkStart w:id="90" w:name="i2ea4de5cee78405187dabaf5a432fa62"/>
      <w:bookmarkEnd w:id="90"/>
      <w:r>
        <w:rPr>
          <w:rFonts w:ascii="Times New Roman;serif" w:hAnsi="Times New Roman;serif"/>
          <w:b w:val="false"/>
          <w:color w:val="000000"/>
          <w:sz w:val="22"/>
        </w:rPr>
        <w:t>(b)</w:t>
      </w:r>
      <w:r>
        <w:rPr>
          <w:rFonts w:ascii="Times New Roman;serif" w:hAnsi="Times New Roman;serif"/>
          <w:b w:val="false"/>
          <w:color w:val="000000"/>
          <w:sz w:val="22"/>
        </w:rPr>
        <w:t xml:space="preserve">To make an election pursuant to this Section, the Borrower shall give the Administrative Agent written notice (or telephonic notice promptly confirmed in writing) of each Borrowing that is to be converted or continued, as the case may be, substantially in the form of </w:t>
      </w:r>
      <w:r>
        <w:rPr>
          <w:rFonts w:ascii="Times New Roman;serif" w:hAnsi="Times New Roman;serif"/>
          <w:b w:val="false"/>
          <w:color w:val="000000"/>
          <w:sz w:val="22"/>
          <w:u w:val="single"/>
        </w:rPr>
        <w:t>Exhibit 2.7</w:t>
      </w:r>
      <w:r>
        <w:rPr>
          <w:color w:val="000000"/>
        </w:rPr>
        <w:t xml:space="preserve"> </w:t>
      </w:r>
      <w:r>
        <w:rPr>
          <w:rFonts w:ascii="Times New Roman;serif" w:hAnsi="Times New Roman;serif"/>
          <w:b w:val="false"/>
          <w:color w:val="000000"/>
          <w:sz w:val="22"/>
        </w:rPr>
        <w:t>attached hereto (a “</w:t>
      </w:r>
      <w:r>
        <w:rPr>
          <w:rFonts w:ascii="Times New Roman;serif" w:hAnsi="Times New Roman;serif"/>
          <w:b w:val="false"/>
          <w:color w:val="000000"/>
          <w:sz w:val="22"/>
          <w:u w:val="single"/>
        </w:rPr>
        <w:t>Notice of Conversion/Continuation</w:t>
      </w:r>
      <w:r>
        <w:rPr>
          <w:color w:val="000000"/>
        </w:rPr>
        <w:t>”</w:t>
      </w:r>
      <w:r>
        <w:rPr>
          <w:rFonts w:ascii="Times New Roman;serif" w:hAnsi="Times New Roman;serif"/>
          <w:b w:val="false"/>
          <w:color w:val="000000"/>
          <w:sz w:val="22"/>
        </w:rPr>
        <w:t xml:space="preserve">) (x) prior to 10:00 a.m. one (1) Business Day prior to the requested date of a conversion into a Base Rate Borrowing and (y) prior to 11:00 a.m. three (3) Business Days prior to a continuation of or conversion into a SOFR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below shall be specified for each resulting Borrowing), (ii) the effective date of the election made pursuant to such Notice of Conversion/Continuation, which shall be a Business Day, (iii) whether the resulting Borrowing is to be a Base Rate Borrowing or a SOFR Borrowing, and (iv) if the resulting Borrowing is to be a SOFR Borrowing, the Interest Period applicable thereto after giving effect to such election, which shall be a period contemplated by the definition of “Interest Period”. If any such Notice of Conversion/ Continuation requests a SOFR Borrowing but does not specify an Interest Period, the Borrower shall be deemed to have selected an Interest Period of one (1) month. The principal amount of any resulting Borrowing shall satisfy the minimum borrowing amount for SOFR Borrowings and Base Rate Borrowings set forth in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91" w:name="i142ac6088305432b9ebb7bbe29016129"/>
      <w:bookmarkEnd w:id="91"/>
      <w:r>
        <w:rPr>
          <w:rFonts w:ascii="Times New Roman;serif" w:hAnsi="Times New Roman;serif"/>
          <w:b w:val="false"/>
          <w:color w:val="000000"/>
          <w:sz w:val="22"/>
        </w:rPr>
        <w:t>(c)</w:t>
      </w:r>
      <w:r>
        <w:rPr>
          <w:rFonts w:ascii="Times New Roman;serif" w:hAnsi="Times New Roman;serif"/>
          <w:b w:val="false"/>
          <w:color w:val="000000"/>
          <w:sz w:val="22"/>
        </w:rPr>
        <w:t>If, on the expiration of any Interest Period in respect of any SOFR Borrowing, the Borrower shall have failed to deliver a Notice of Conversion/Continuation, then, unless such Borrowing is repaid as provided herein, the Borrower shall be deemed to have elected to continue such Borrowing with an Interest Period of one month. No conversion of any SOFR Loan shall be permitted except on the last day of the Interest Period in respect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036955"/>
                <wp:effectExtent l="0" t="0" r="0" b="0"/>
                <wp:wrapNone/>
                <wp:docPr id="186" name="Frame18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240"/>
        <w:ind w:left="0" w:right="0" w:firstLine="1440"/>
        <w:jc w:val="both"/>
        <w:rPr/>
      </w:pPr>
      <w:bookmarkStart w:id="92" w:name="i724bc62d28c94026857cae215b57ed52"/>
      <w:bookmarkEnd w:id="92"/>
      <w:r>
        <w:rPr>
          <w:rFonts w:ascii="Times New Roman;serif" w:hAnsi="Times New Roman;serif"/>
          <w:b w:val="false"/>
          <w:color w:val="000000"/>
          <w:sz w:val="22"/>
        </w:rPr>
        <w:t>(d)</w:t>
      </w:r>
      <w:r>
        <w:rPr>
          <w:rFonts w:ascii="Times New Roman;serif" w:hAnsi="Times New Roman;serif"/>
          <w:b w:val="false"/>
          <w:color w:val="000000"/>
          <w:sz w:val="22"/>
        </w:rPr>
        <w:t>Upon receipt of any Notice of Conversion/Continuation, the Administrative Agent shall promptly notify each Lender of the details thereof and of such Lender’s portion of each resulting Borrowing.</w:t>
      </w:r>
    </w:p>
    <w:p>
      <w:pPr>
        <w:pStyle w:val="TextBody"/>
        <w:bidi w:val="0"/>
        <w:spacing w:lineRule="auto" w:line="240" w:before="0" w:after="240"/>
        <w:ind w:left="0" w:right="0" w:firstLine="720"/>
        <w:jc w:val="both"/>
        <w:rPr/>
      </w:pPr>
      <w:bookmarkStart w:id="93" w:name="i90203fddf700447c8712727d0fefe7b9"/>
      <w:bookmarkEnd w:id="93"/>
      <w:r>
        <w:rPr>
          <w:rFonts w:ascii="Times New Roman;serif" w:hAnsi="Times New Roman;serif"/>
          <w:b/>
          <w:color w:val="000000"/>
          <w:sz w:val="22"/>
        </w:rPr>
        <w:t>Section 2.8</w:t>
      </w:r>
      <w:r>
        <w:rPr>
          <w:rFonts w:ascii="Times New Roman;serif" w:hAnsi="Times New Roman;serif"/>
          <w:b/>
          <w:color w:val="000000"/>
          <w:sz w:val="22"/>
          <w:u w:val="single"/>
        </w:rPr>
        <w:t>Optional Reduction and Termination of Commitments.</w:t>
      </w:r>
    </w:p>
    <w:p>
      <w:pPr>
        <w:pStyle w:val="TextBody"/>
        <w:bidi w:val="0"/>
        <w:spacing w:lineRule="auto" w:line="240" w:before="0" w:after="240"/>
        <w:ind w:left="0" w:right="0" w:firstLine="1440"/>
        <w:jc w:val="both"/>
        <w:rPr/>
      </w:pPr>
      <w:bookmarkStart w:id="94" w:name="ib871f7ba22b24e96bade4729e964607d"/>
      <w:bookmarkEnd w:id="94"/>
      <w:r>
        <w:rPr>
          <w:rFonts w:ascii="Times New Roman;serif" w:hAnsi="Times New Roman;serif"/>
          <w:b w:val="false"/>
          <w:color w:val="000000"/>
          <w:sz w:val="22"/>
        </w:rPr>
        <w:t>(a)</w:t>
      </w:r>
      <w:r>
        <w:rPr>
          <w:rFonts w:ascii="Times New Roman;serif" w:hAnsi="Times New Roman;serif"/>
          <w:b w:val="false"/>
          <w:color w:val="000000"/>
          <w:sz w:val="22"/>
        </w:rPr>
        <w:t xml:space="preserve">Unless previously terminated, all Revolving Commitments, Swingline Commitments and LC Commitments shall terminate on the Revolving Commitment Termination Date. The Term A Loan Commitments shall terminate on the Closing Date upon the making of the Term A Loan. The Delayed Draw Term Loan Commitments of each Term Lender shall (i) automatically and permanently be reduced upon the making of any Delayed Draw Term Loans by an amount equal to the Delayed Draw Term Loans so made and (ii) automatically and permanently be reduced to $0 on the Delayed Draw Term Commitment Termination Date. </w:t>
      </w:r>
    </w:p>
    <w:p>
      <w:pPr>
        <w:pStyle w:val="TextBody"/>
        <w:bidi w:val="0"/>
        <w:spacing w:lineRule="auto" w:line="240" w:before="0" w:after="240"/>
        <w:ind w:left="0" w:right="0" w:firstLine="1440"/>
        <w:jc w:val="both"/>
        <w:rPr/>
      </w:pPr>
      <w:bookmarkStart w:id="95" w:name="ic99aba8211de4246a09dc6cde72b9077"/>
      <w:bookmarkEnd w:id="95"/>
      <w:r>
        <w:rPr>
          <w:rFonts w:ascii="Times New Roman;serif" w:hAnsi="Times New Roman;serif"/>
          <w:b w:val="false"/>
          <w:color w:val="000000"/>
          <w:sz w:val="22"/>
        </w:rPr>
        <w:t>(b)</w:t>
      </w:r>
      <w:r>
        <w:rPr>
          <w:rFonts w:ascii="Times New Roman;serif" w:hAnsi="Times New Roman;serif"/>
          <w:b w:val="false"/>
          <w:color w:val="000000"/>
          <w:sz w:val="22"/>
        </w:rPr>
        <w:t xml:space="preserve">Upon at least three (3) Business Days’ prior written notice (or telephonic notice promptly confirmed in writing) to the Administrative Agent (which notice shall be irrevocable unless the Borrower provides in such notice (in connection with a termination in whole) that it is conditional on the occurrence of another financing or transaction, in which case such notice may be revoked if such financing or transaction does not occur on a timely basis), the Borrower may reduce the Aggregate Revolving Commitments in part or terminate the Aggregate Revolving Commitments in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any partial reduction shall apply to reduce proportionately and permanently the Revolving Commitment of each Revolving Lender, (ii) any partial reduction pursuant to this Section shall be in an amount of at least $5,000,000 and any larger multiple of $1,000,000, and (iii) no such reduction shall be permitted which would reduce the Aggregate Revolving Commitment Amount to an amount less than the aggregate outstanding Revolving Credit Exposure of all Revolving Lenders. Any such reduction in the Aggregate Revolving Commitment Amount below the principal amount of the Swingline Commitment and the LC Commitment shall result in a dollar-for-dollar reduction in the Swingline Commitment and the LC Commitment.</w:t>
      </w:r>
    </w:p>
    <w:p>
      <w:pPr>
        <w:pStyle w:val="TextBody"/>
        <w:bidi w:val="0"/>
        <w:spacing w:lineRule="auto" w:line="240" w:before="0" w:after="240"/>
        <w:ind w:left="0" w:right="0" w:firstLine="1440"/>
        <w:jc w:val="both"/>
        <w:rPr/>
      </w:pPr>
      <w:bookmarkStart w:id="96" w:name="ic1c1cb3801254126a7bdb50d3d20168f"/>
      <w:bookmarkEnd w:id="96"/>
      <w:r>
        <w:rPr>
          <w:rFonts w:ascii="Times New Roman;serif" w:hAnsi="Times New Roman;serif"/>
          <w:b w:val="false"/>
          <w:color w:val="000000"/>
          <w:sz w:val="22"/>
        </w:rPr>
        <w:t>(c)</w:t>
      </w:r>
      <w:r>
        <w:rPr>
          <w:rFonts w:ascii="Times New Roman;serif" w:hAnsi="Times New Roman;serif"/>
          <w:b w:val="false"/>
          <w:color w:val="000000"/>
          <w:sz w:val="22"/>
        </w:rPr>
        <w:t xml:space="preserve">Upon at least three (3) Business Days’ prior written notice (or telephonic notice promptly confirmed in writing) to the Administrative Agent (which notice shall be irrevocable unless the Borrower provides in such notice (in connection with a termination in whole) that it is conditional on the occurrence of another financing or transaction, in which case such notice may be revoked if such financing or transaction does not occur on a timely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pay all amounts required to be paid pursuant to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as a result of such revocation), the Borrower may reduce the Delayed Draw Term Loan Commitments in part or terminate the Delayed Draw Term Loan Commitments in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any partial reduction shall apply to reduce proportionately and permanently the Delayed Draw Term Loan Commitment of each Term Lender and (ii) any partial reduction pursuant to this Section shall be in an amount of at least $5,000,000 and any larger multiple of $1,000,000.</w:t>
      </w:r>
    </w:p>
    <w:p>
      <w:pPr>
        <w:pStyle w:val="TextBody"/>
        <w:bidi w:val="0"/>
        <w:spacing w:lineRule="auto" w:line="240" w:before="0" w:after="240"/>
        <w:ind w:left="0" w:right="0" w:firstLine="1440"/>
        <w:jc w:val="both"/>
        <w:rPr/>
      </w:pPr>
      <w:bookmarkStart w:id="97" w:name="if2e11004d2c740099f9207ec74768484"/>
      <w:bookmarkEnd w:id="97"/>
      <w:r>
        <w:rPr>
          <w:rFonts w:ascii="Times New Roman;serif" w:hAnsi="Times New Roman;serif"/>
          <w:b w:val="false"/>
          <w:color w:val="000000"/>
          <w:sz w:val="22"/>
        </w:rPr>
        <w:t>(d)</w:t>
      </w:r>
      <w:r>
        <w:rPr>
          <w:rFonts w:ascii="Times New Roman;serif" w:hAnsi="Times New Roman;serif"/>
          <w:b w:val="false"/>
          <w:color w:val="000000"/>
          <w:sz w:val="22"/>
        </w:rPr>
        <w:t xml:space="preserve">With the written approval of the Administrative Agent, the Borrower may terminate (on a non-ratable basis) the unused amount of the Revolving Commitment and/or the Delayed Draw Term Loan Commitment of a Defaulting Lender, and in such event the provisions of </w:t>
      </w:r>
      <w:r>
        <w:rPr>
          <w:rFonts w:ascii="Times New Roman;serif" w:hAnsi="Times New Roman;serif"/>
          <w:b w:val="false"/>
          <w:color w:val="000000"/>
          <w:sz w:val="22"/>
          <w:u w:val="single"/>
        </w:rPr>
        <w:t>Section 2.26</w:t>
      </w:r>
      <w:r>
        <w:rPr>
          <w:color w:val="000000"/>
        </w:rPr>
        <w:t xml:space="preserve"> </w:t>
      </w:r>
      <w:r>
        <w:rPr>
          <w:rFonts w:ascii="Times New Roman;serif" w:hAnsi="Times New Roman;serif"/>
          <w:b w:val="false"/>
          <w:color w:val="000000"/>
          <w:sz w:val="22"/>
        </w:rPr>
        <w:t xml:space="preserve">will apply to all amounts thereafter paid by the Borrower for the account of any such Defaulting Lender under this Agreement (whether on account of principal, interest, fees, indemnity or other amounts);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termination will not be deemed to be a waiver or release of any claim that the Borrower, the Administrative Agent, the Issuing Banks, the Swingline Lender or any other Lender may have against such Defaulting Lender.</w:t>
      </w:r>
    </w:p>
    <w:p>
      <w:pPr>
        <w:pStyle w:val="TextBody"/>
        <w:bidi w:val="0"/>
        <w:spacing w:lineRule="auto" w:line="240" w:before="0" w:after="240"/>
        <w:ind w:left="0" w:right="0" w:firstLine="720"/>
        <w:jc w:val="both"/>
        <w:rPr/>
      </w:pPr>
      <w:bookmarkStart w:id="98" w:name="i302f303872864dc582e9943b00522cbb"/>
      <w:bookmarkEnd w:id="98"/>
      <w:r>
        <w:rPr>
          <w:rFonts w:ascii="Times New Roman;serif" w:hAnsi="Times New Roman;serif"/>
          <w:b/>
          <w:color w:val="000000"/>
          <w:sz w:val="22"/>
        </w:rPr>
        <w:t>Section 2.9</w:t>
      </w:r>
      <w:r>
        <w:rPr>
          <w:rFonts w:ascii="Times New Roman;serif" w:hAnsi="Times New Roman;serif"/>
          <w:b/>
          <w:color w:val="000000"/>
          <w:sz w:val="22"/>
          <w:u w:val="single"/>
        </w:rPr>
        <w:t>Repayment of Loans.</w:t>
      </w:r>
    </w:p>
    <w:p>
      <w:pPr>
        <w:pStyle w:val="TextBody"/>
        <w:bidi w:val="0"/>
        <w:spacing w:lineRule="auto" w:line="240" w:before="0" w:after="240"/>
        <w:ind w:left="0" w:right="0" w:firstLine="1440"/>
        <w:jc w:val="both"/>
        <w:rPr/>
      </w:pPr>
      <w:bookmarkStart w:id="99" w:name="i0f955e1a07394f5b9b28fb16033e2fb3"/>
      <w:bookmarkEnd w:id="99"/>
      <w:r>
        <w:rPr>
          <w:rFonts w:ascii="Times New Roman;serif" w:hAnsi="Times New Roman;serif"/>
          <w:b w:val="false"/>
          <w:color w:val="000000"/>
          <w:sz w:val="22"/>
        </w:rPr>
        <w:t>(a)</w:t>
      </w:r>
      <w:r>
        <w:rPr>
          <w:rFonts w:ascii="Times New Roman;serif" w:hAnsi="Times New Roman;serif"/>
          <w:b w:val="false"/>
          <w:color w:val="000000"/>
          <w:sz w:val="22"/>
        </w:rPr>
        <w:t>The outstanding principal amount of all Revolving Loans and Swingline Loans shall be due and payable (together with accrued and unpaid interest thereon) on the Revolving Commitment Termination Date.</w:t>
      </w:r>
    </w:p>
    <w:p>
      <w:pPr>
        <w:pStyle w:val="TextBody"/>
        <w:bidi w:val="0"/>
        <w:spacing w:lineRule="auto" w:line="240" w:before="0" w:after="240"/>
        <w:ind w:left="0" w:right="0" w:firstLine="1440"/>
        <w:jc w:val="both"/>
        <w:rPr/>
      </w:pPr>
      <w:bookmarkStart w:id="100" w:name="ia4661ec5ac894dabb6dddc6b33e2ba9f"/>
      <w:bookmarkEnd w:id="100"/>
      <w:r>
        <w:rPr>
          <w:rFonts w:ascii="Times New Roman;serif" w:hAnsi="Times New Roman;serif"/>
          <w:b w:val="false"/>
          <w:color w:val="000000"/>
          <w:sz w:val="22"/>
        </w:rPr>
        <w:t>(b)</w:t>
      </w:r>
      <w:r>
        <w:rPr>
          <w:rFonts w:ascii="Times New Roman;serif" w:hAnsi="Times New Roman;serif"/>
          <w:b w:val="false"/>
          <w:color w:val="000000"/>
          <w:sz w:val="22"/>
        </w:rPr>
        <w:t xml:space="preserve">The Borrower unconditionally promises to pay to the Administrative Agent for the account of each Term Lender with outstanding Term A Loans the then unpaid principal amount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036955"/>
                <wp:effectExtent l="0" t="0" r="0" b="0"/>
                <wp:wrapNone/>
                <wp:docPr id="187" name="Frame18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Term A Loan of such Lender in installments payable on the dates set forth below, with each such installment being in the aggregate principal amount for all such Term Lenders set forth opposite such date below (and on such other date(s) and in such other amounts as may be required from time to time pursuant to this Agreement):</w:t>
      </w:r>
    </w:p>
    <w:tbl>
      <w:tblPr>
        <w:tblW w:w="7545" w:type="dxa"/>
        <w:jc w:val="left"/>
        <w:tblInd w:w="0" w:type="dxa"/>
        <w:tblLayout w:type="fixed"/>
        <w:tblCellMar>
          <w:top w:w="28" w:type="dxa"/>
          <w:left w:w="28" w:type="dxa"/>
          <w:bottom w:w="28" w:type="dxa"/>
          <w:right w:w="28" w:type="dxa"/>
        </w:tblCellMar>
      </w:tblPr>
      <w:tblGrid>
        <w:gridCol w:w="1102"/>
        <w:gridCol w:w="970"/>
        <w:gridCol w:w="973"/>
        <w:gridCol w:w="1316"/>
        <w:gridCol w:w="1316"/>
        <w:gridCol w:w="1868"/>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Installment Date</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Principal Amount</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2026</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$7,250,000.00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$7,250,000.00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2026</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$7,250,000.00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$7,250,000.00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2027</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2027</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2027</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2028</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2028</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2028</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$10,875,000.00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2029</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2029</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2029</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2029</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2030</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2030</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2030</w:t>
            </w:r>
          </w:p>
        </w:tc>
        <w:tc>
          <w:tcPr>
            <w:tcW w:w="45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$14,500,000.00</w:t>
            </w:r>
          </w:p>
        </w:tc>
      </w:tr>
      <w:tr>
        <w:trPr/>
        <w:tc>
          <w:tcPr>
            <w:tcW w:w="30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Maturity Date of Term A Loan </w:t>
            </w:r>
          </w:p>
        </w:tc>
        <w:tc>
          <w:tcPr>
            <w:tcW w:w="45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00"/>
              <w:jc w:val="center"/>
              <w:rPr>
                <w:rFonts w:ascii="Times New Roman;serif" w:hAnsi="Times New Roman;serif"/>
                <w:b w:val="false"/>
                <w:color w:val="000000"/>
                <w:sz w:val="22"/>
              </w:rPr>
            </w:pPr>
            <w:r>
              <w:rPr>
                <w:rFonts w:ascii="Times New Roman;serif" w:hAnsi="Times New Roman;serif"/>
                <w:b w:val="false"/>
                <w:color w:val="000000"/>
                <w:sz w:val="22"/>
              </w:rPr>
              <w:t xml:space="preserve">Remaining Principal Balance of Term A Loan </w:t>
            </w:r>
          </w:p>
        </w:tc>
      </w:tr>
    </w:tbl>
    <w:p>
      <w:pPr>
        <w:pStyle w:val="TextBody"/>
        <w:bidi w:val="0"/>
        <w:spacing w:before="0" w:after="0"/>
        <w:jc w:val="both"/>
        <w:rPr/>
      </w:pPr>
      <w:r>
        <w:rPr/>
      </w:r>
    </w:p>
    <w:p>
      <w:pPr>
        <w:pStyle w:val="TextBody"/>
        <w:bidi w:val="0"/>
        <w:spacing w:lineRule="auto" w:line="288" w:before="0" w:after="10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unconditionally promises to pay to the Administrative Agent, for the account of each Lender, the aggregate principal balance of the Term A Loan (together with accrued and unpaid interest thereon) of such Lender outstanding on the Maturity Date.</w:t>
      </w:r>
    </w:p>
    <w:p>
      <w:pPr>
        <w:pStyle w:val="TextBody"/>
        <w:bidi w:val="0"/>
        <w:spacing w:lineRule="auto" w:line="240" w:before="0" w:after="240"/>
        <w:ind w:left="0" w:right="0" w:firstLine="1440"/>
        <w:jc w:val="both"/>
        <w:rPr/>
      </w:pPr>
      <w:bookmarkStart w:id="101" w:name="ibffc8b8f493748888756bb088ab146cd"/>
      <w:bookmarkEnd w:id="101"/>
      <w:r>
        <w:rPr>
          <w:rFonts w:ascii="Times New Roman;serif" w:hAnsi="Times New Roman;serif"/>
          <w:b w:val="false"/>
          <w:color w:val="000000"/>
          <w:sz w:val="22"/>
        </w:rPr>
        <w:t>(c)</w:t>
      </w:r>
      <w:r>
        <w:rPr>
          <w:rFonts w:ascii="Times New Roman;serif" w:hAnsi="Times New Roman;serif"/>
          <w:b w:val="false"/>
          <w:color w:val="000000"/>
          <w:sz w:val="24"/>
        </w:rPr>
        <w:t>The Borrower unconditionally promises to pay to the Administrative Agent, for the account of each Lender, the then aggregate outstanding principal amount of each Delayed Draw Term Loan of such Lender in installments payable on the dates set forth below, commencing as of the last day of the first full Fiscal Quarter ending after the making of each such Delayed Draw Term Loan, with each such installment being in the aggregate principal amount for all Lenders set forth opposite such date below (and on such other date(s) and in such other amounts as may be required from time to time pursuant to this Agreement):</w:t>
      </w:r>
    </w:p>
    <w:tbl>
      <w:tblPr>
        <w:tblW w:w="10205" w:type="dxa"/>
        <w:jc w:val="left"/>
        <w:tblInd w:w="0" w:type="dxa"/>
        <w:tblLayout w:type="fixed"/>
        <w:tblCellMar>
          <w:top w:w="28" w:type="dxa"/>
          <w:left w:w="28" w:type="dxa"/>
          <w:bottom w:w="28" w:type="dxa"/>
          <w:right w:w="28" w:type="dxa"/>
        </w:tblCellMar>
      </w:tblPr>
      <w:tblGrid>
        <w:gridCol w:w="511"/>
        <w:gridCol w:w="450"/>
        <w:gridCol w:w="452"/>
        <w:gridCol w:w="2578"/>
        <w:gridCol w:w="2569"/>
        <w:gridCol w:w="3645"/>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Installment Date</w:t>
            </w:r>
          </w:p>
        </w:tc>
        <w:tc>
          <w:tcPr>
            <w:tcW w:w="8792"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Aggregate Principal Amount</w:t>
            </w:r>
          </w:p>
        </w:tc>
      </w:tr>
      <w:tr>
        <w:trPr/>
        <w:tc>
          <w:tcPr>
            <w:tcW w:w="141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2026</w:t>
            </w:r>
          </w:p>
        </w:tc>
        <w:tc>
          <w:tcPr>
            <w:tcW w:w="879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1.25%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036955"/>
                <wp:effectExtent l="0" t="0" r="0" b="0"/>
                <wp:wrapNone/>
                <wp:docPr id="188" name="Frame18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6"/>
        <w:gridCol w:w="481"/>
        <w:gridCol w:w="483"/>
        <w:gridCol w:w="2550"/>
        <w:gridCol w:w="2540"/>
        <w:gridCol w:w="3605"/>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Installment Date</w:t>
            </w:r>
          </w:p>
        </w:tc>
        <w:tc>
          <w:tcPr>
            <w:tcW w:w="8695"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Aggregate Principal Amount</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2026</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1.25%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2026</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1.25%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1.25%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2027</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2027</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2027</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86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036955"/>
                <wp:effectExtent l="0" t="0" r="0" b="0"/>
                <wp:wrapNone/>
                <wp:docPr id="189" name="Frame18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6"/>
        <w:gridCol w:w="481"/>
        <w:gridCol w:w="483"/>
        <w:gridCol w:w="2550"/>
        <w:gridCol w:w="2540"/>
        <w:gridCol w:w="3605"/>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Installment Date</w:t>
            </w:r>
          </w:p>
        </w:tc>
        <w:tc>
          <w:tcPr>
            <w:tcW w:w="8695"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Aggregate Principal Amount</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2028</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2028</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2028</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1.875%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2029</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r>
        <w:trPr/>
        <w:tc>
          <w:tcPr>
            <w:tcW w:w="151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2029</w:t>
            </w:r>
          </w:p>
        </w:tc>
        <w:tc>
          <w:tcPr>
            <w:tcW w:w="8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r>
        <w:trPr/>
        <w:tc>
          <w:tcPr>
            <w:tcW w:w="151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2029</w:t>
            </w:r>
          </w:p>
        </w:tc>
        <w:tc>
          <w:tcPr>
            <w:tcW w:w="86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036955"/>
                <wp:effectExtent l="0" t="0" r="0" b="0"/>
                <wp:wrapNone/>
                <wp:docPr id="190" name="Frame18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9"/>
        <w:gridCol w:w="738"/>
        <w:gridCol w:w="741"/>
        <w:gridCol w:w="2314"/>
        <w:gridCol w:w="2304"/>
        <w:gridCol w:w="3269"/>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Installment Date</w:t>
            </w:r>
          </w:p>
        </w:tc>
        <w:tc>
          <w:tcPr>
            <w:tcW w:w="7887"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Aggregate Principal Amount</w:t>
            </w:r>
          </w:p>
        </w:tc>
      </w:tr>
      <w:tr>
        <w:trPr/>
        <w:tc>
          <w:tcPr>
            <w:tcW w:w="231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2029</w:t>
            </w:r>
          </w:p>
        </w:tc>
        <w:tc>
          <w:tcPr>
            <w:tcW w:w="788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r>
        <w:trPr/>
        <w:tc>
          <w:tcPr>
            <w:tcW w:w="231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March 31, 2030</w:t>
            </w:r>
          </w:p>
        </w:tc>
        <w:tc>
          <w:tcPr>
            <w:tcW w:w="788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r>
        <w:trPr/>
        <w:tc>
          <w:tcPr>
            <w:tcW w:w="231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2030</w:t>
            </w:r>
          </w:p>
        </w:tc>
        <w:tc>
          <w:tcPr>
            <w:tcW w:w="788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r>
        <w:trPr/>
        <w:tc>
          <w:tcPr>
            <w:tcW w:w="231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30, 2030</w:t>
            </w:r>
          </w:p>
        </w:tc>
        <w:tc>
          <w:tcPr>
            <w:tcW w:w="788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An amount equal to the product of (i) the aggregate original principal amount of each Delayed Draw Term Loan funded at such time (whether pursuant to the initial advance or a subsequent advance),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(ii) 2.50% </w:t>
            </w:r>
          </w:p>
        </w:tc>
      </w:tr>
      <w:tr>
        <w:trPr/>
        <w:tc>
          <w:tcPr>
            <w:tcW w:w="231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Maturity Date of the Delayed Draw Term Loan</w:t>
            </w:r>
          </w:p>
        </w:tc>
        <w:tc>
          <w:tcPr>
            <w:tcW w:w="7887"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Remaining Principal Balance of each Delayed Draw Term Loan</w:t>
            </w:r>
          </w:p>
        </w:tc>
      </w:tr>
    </w:tbl>
    <w:p>
      <w:pPr>
        <w:pStyle w:val="TextBody"/>
        <w:bidi w:val="0"/>
        <w:spacing w:before="0" w:after="0"/>
        <w:jc w:val="left"/>
        <w:rPr/>
      </w:pPr>
      <w:r>
        <w:rPr/>
      </w:r>
    </w:p>
    <w:p>
      <w:pPr>
        <w:pStyle w:val="TextBody"/>
        <w:bidi w:val="0"/>
        <w:spacing w:lineRule="auto" w:line="288" w:before="0" w:after="10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unconditionally promises to pay to the Administrative Agent, for the account of each Lender, the aggregate principal balance of all funded Delayed Draw Term Loans (together with accrued and unpaid interest thereon) of such Lender outstanding on the Maturity Date.</w:t>
      </w:r>
    </w:p>
    <w:p>
      <w:pPr>
        <w:pStyle w:val="TextBody"/>
        <w:bidi w:val="0"/>
        <w:spacing w:lineRule="auto" w:line="240" w:before="0" w:after="240"/>
        <w:ind w:left="0" w:right="0" w:firstLine="720"/>
        <w:jc w:val="both"/>
        <w:rPr/>
      </w:pPr>
      <w:bookmarkStart w:id="102" w:name="i3d2dd01999204334972c4f873a031edb"/>
      <w:bookmarkEnd w:id="102"/>
      <w:r>
        <w:rPr>
          <w:rFonts w:ascii="Times New Roman;serif" w:hAnsi="Times New Roman;serif"/>
          <w:b/>
          <w:color w:val="000000"/>
          <w:sz w:val="22"/>
        </w:rPr>
        <w:t>Section 2.10</w:t>
      </w:r>
      <w:r>
        <w:rPr>
          <w:rFonts w:ascii="Times New Roman;serif" w:hAnsi="Times New Roman;serif"/>
          <w:b/>
          <w:color w:val="000000"/>
          <w:sz w:val="22"/>
          <w:u w:val="single"/>
        </w:rPr>
        <w:t>Evidence of Indebtedness.</w:t>
      </w:r>
    </w:p>
    <w:p>
      <w:pPr>
        <w:pStyle w:val="TextBody"/>
        <w:bidi w:val="0"/>
        <w:spacing w:lineRule="auto" w:line="240" w:before="0" w:after="240"/>
        <w:ind w:left="0" w:right="0" w:firstLine="1440"/>
        <w:jc w:val="both"/>
        <w:rPr/>
      </w:pPr>
      <w:bookmarkStart w:id="103" w:name="i6e8b46b02bf84aaf8c534025ef6ce28a"/>
      <w:bookmarkEnd w:id="103"/>
      <w:r>
        <w:rPr>
          <w:rFonts w:ascii="Times New Roman;serif" w:hAnsi="Times New Roman;serif"/>
          <w:b w:val="false"/>
          <w:color w:val="000000"/>
          <w:sz w:val="22"/>
        </w:rPr>
        <w:t>(a)</w:t>
      </w:r>
      <w:r>
        <w:rPr>
          <w:rFonts w:ascii="Times New Roman;serif" w:hAnsi="Times New Roman;serif"/>
          <w:b w:val="false"/>
          <w:color w:val="000000"/>
          <w:sz w:val="22"/>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Revolving Commitment, the Term A Loan Commitment and the Delayed Draw Term Loan Commitment of each Lender, (ii) the amount of each Loan made hereunder by each Lender, the Class and Type thereof and, in the case of each SOFR Loan, the Interest Period applicable thereto, (iii) the date of any continuation of any Loan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(iv) the date of any conversion of all or a portion of any Loan to another Type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Times New Roman;serif" w:hAnsi="Times New Roman;serif"/>
          <w:b w:val="false"/>
          <w:i/>
          <w:color w:val="000000"/>
          <w:sz w:val="22"/>
        </w:rPr>
        <w:t>prima facie</w:t>
      </w:r>
      <w:r>
        <w:rPr>
          <w:color w:val="000000"/>
        </w:rPr>
        <w:t xml:space="preserve"> </w:t>
      </w:r>
      <w:r>
        <w:rPr>
          <w:rFonts w:ascii="Times New Roman;serif" w:hAnsi="Times New Roman;serif"/>
          <w:b w:val="false"/>
          <w:color w:val="000000"/>
          <w:sz w:val="22"/>
        </w:rPr>
        <w:t xml:space="preserve">evidence of the existence and amounts of the obligations of the Borrower therein recorded;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or delay of any Lender or the Administrative Agent in maintaining or making entries into any such record or any error therein shall not in any manner affect the obligation of the Borrower to repay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036955"/>
                <wp:effectExtent l="0" t="0" r="0" b="0"/>
                <wp:wrapNone/>
                <wp:docPr id="191" name="Frame18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Loans (both principal and unpaid accrued interest) of such Lender in accordance with the terms of this Agreement.</w:t>
      </w:r>
    </w:p>
    <w:p>
      <w:pPr>
        <w:pStyle w:val="TextBody"/>
        <w:bidi w:val="0"/>
        <w:spacing w:lineRule="auto" w:line="240" w:before="0" w:after="240"/>
        <w:ind w:left="0" w:right="0" w:firstLine="1440"/>
        <w:jc w:val="both"/>
        <w:rPr/>
      </w:pPr>
      <w:bookmarkStart w:id="104" w:name="i0fe706bb1c9c43cb9f731efba9675ea8"/>
      <w:bookmarkEnd w:id="104"/>
      <w:r>
        <w:rPr>
          <w:rFonts w:ascii="Times New Roman;serif" w:hAnsi="Times New Roman;serif"/>
          <w:b w:val="false"/>
          <w:color w:val="000000"/>
          <w:sz w:val="22"/>
        </w:rPr>
        <w:t>(b)</w:t>
      </w:r>
      <w:r>
        <w:rPr>
          <w:rFonts w:ascii="Times New Roman;serif" w:hAnsi="Times New Roman;serif"/>
          <w:b w:val="false"/>
          <w:color w:val="000000"/>
          <w:sz w:val="22"/>
        </w:rPr>
        <w:t>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permitted hereunder) be represented by one or more promissory notes in such form payable to the payee named therein (or to such payee and its registered assigns).</w:t>
      </w:r>
    </w:p>
    <w:p>
      <w:pPr>
        <w:pStyle w:val="TextBody"/>
        <w:bidi w:val="0"/>
        <w:spacing w:lineRule="auto" w:line="240" w:before="0" w:after="0"/>
        <w:ind w:left="0" w:right="0" w:firstLine="720"/>
        <w:jc w:val="both"/>
        <w:rPr/>
      </w:pPr>
      <w:bookmarkStart w:id="105" w:name="i669c6fca5f4c4517a6649ae9cf24caff"/>
      <w:bookmarkEnd w:id="105"/>
      <w:r>
        <w:rPr>
          <w:rFonts w:ascii="Times New Roman;serif" w:hAnsi="Times New Roman;serif"/>
          <w:b/>
          <w:color w:val="000000"/>
          <w:sz w:val="22"/>
        </w:rPr>
        <w:t>Section 2.11</w:t>
      </w:r>
      <w:r>
        <w:rPr>
          <w:rFonts w:ascii="Times New Roman;serif" w:hAnsi="Times New Roman;serif"/>
          <w:b/>
          <w:color w:val="000000"/>
          <w:sz w:val="22"/>
          <w:u w:val="single"/>
        </w:rPr>
        <w:t>Optional Prepayments</w:t>
      </w:r>
      <w:r>
        <w:rPr>
          <w:rFonts w:ascii="Times New Roman;serif" w:hAnsi="Times New Roman;serif"/>
          <w:b w:val="false"/>
          <w:color w:val="000000"/>
          <w:sz w:val="22"/>
        </w:rPr>
        <w:t xml:space="preserve">. The Borrower shall have the right at any time and from time to time to prepay any Borrowing, in whole or in part, without premium or penalty, by giving written notice (or telephonic notice promptly confirmed in writing) to the Administrative Agent no later than (i) in the case of any prepayment of any SOFR Borrowing, 11:00 a.m. not less than three (3) Business Days prior to the date of such prepayment, (ii) in the case of any prepayment of any Base Rate Borrowing, not less than one (1) Business Day prior to the date of such prepayment, and (iii) in the case of any prepayment of any Swingline Borrowing, prior to 11:00 a.m. on the date of such prepayment. Each such notice shall be irrevocable (provided that (x) any such notice may be conditioned on the occurrence of another financing or transaction, in which case such notice may be revoked if such financing or transaction does not occur on a timely basis and (y) the Borrower shall pay all amounts required to be paid pursuant to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as a result of such revocation)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(unless revoked as provided above), together with accrued interest to such date on the amount so prepaid in accordance with </w:t>
      </w:r>
      <w:r>
        <w:rPr>
          <w:rFonts w:ascii="Times New Roman;serif" w:hAnsi="Times New Roman;serif"/>
          <w:b w:val="false"/>
          <w:color w:val="000000"/>
          <w:sz w:val="22"/>
          <w:u w:val="single"/>
        </w:rPr>
        <w:t>Section 2.13(d)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SOFR Borrowing is prepaid on a date other than the last day of an Interest Period applicable thereto, the Borrower shall also pay all amounts required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Each partial prepayment of any Loan shall be in an amount that would be permitted in the case of an advance of a Revolving Borrowing of the same Type pursuant to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or, in the case of a Swingline Loan, pursuant to </w:t>
      </w:r>
      <w:r>
        <w:rPr>
          <w:rFonts w:ascii="Times New Roman;serif" w:hAnsi="Times New Roman;serif"/>
          <w:b w:val="false"/>
          <w:color w:val="000000"/>
          <w:sz w:val="22"/>
          <w:u w:val="single"/>
        </w:rPr>
        <w:t>Section 2.4</w:t>
      </w:r>
      <w:r>
        <w:rPr>
          <w:rFonts w:ascii="Times New Roman;serif" w:hAnsi="Times New Roman;serif"/>
          <w:b w:val="false"/>
          <w:color w:val="000000"/>
          <w:sz w:val="22"/>
        </w:rPr>
        <w:t xml:space="preserve">. Each prepayment of a Borrowing shall be applied ratably to the Loans comprising such Borrowing and, in the case of a prepayment of a Term Loan Borrowing, to principal installments in the order as may be directed by the Borrower (and in the absence of any such direction, in direct order of maturity). For the avoidance of doubt, any Term Loan that is prepaid may not be reborrowed. </w:t>
      </w:r>
    </w:p>
    <w:p>
      <w:pPr>
        <w:pStyle w:val="TextBody"/>
        <w:bidi w:val="0"/>
        <w:spacing w:lineRule="auto" w:line="240" w:before="0" w:after="240"/>
        <w:ind w:left="0" w:right="0" w:firstLine="720"/>
        <w:jc w:val="both"/>
        <w:rPr/>
      </w:pPr>
      <w:bookmarkStart w:id="106" w:name="i0600a64d940d4cc4b1ef200c423ccca7"/>
      <w:bookmarkEnd w:id="106"/>
      <w:r>
        <w:rPr>
          <w:rFonts w:ascii="Times New Roman;serif" w:hAnsi="Times New Roman;serif"/>
          <w:b/>
          <w:color w:val="000000"/>
          <w:sz w:val="22"/>
        </w:rPr>
        <w:t>Section 2.12</w:t>
      </w:r>
      <w:r>
        <w:rPr>
          <w:rFonts w:ascii="Times New Roman;serif" w:hAnsi="Times New Roman;serif"/>
          <w:b/>
          <w:color w:val="000000"/>
          <w:sz w:val="22"/>
          <w:u w:val="single"/>
        </w:rPr>
        <w:t>Mandatory Prepayments.</w:t>
      </w:r>
    </w:p>
    <w:p>
      <w:pPr>
        <w:pStyle w:val="TextBody"/>
        <w:bidi w:val="0"/>
        <w:spacing w:lineRule="auto" w:line="240" w:before="0" w:after="240"/>
        <w:ind w:left="0" w:right="0" w:firstLine="1440"/>
        <w:jc w:val="both"/>
        <w:rPr/>
      </w:pPr>
      <w:bookmarkStart w:id="107" w:name="ib2703b66a907419b90cc8d213754be1e"/>
      <w:bookmarkEnd w:id="107"/>
      <w:r>
        <w:rPr>
          <w:rFonts w:ascii="Times New Roman;serif" w:hAnsi="Times New Roman;serif"/>
          <w:b w:val="false"/>
          <w:color w:val="000000"/>
          <w:sz w:val="22"/>
        </w:rPr>
        <w:t>(a)</w:t>
      </w:r>
      <w:r>
        <w:rPr>
          <w:rFonts w:ascii="Times New Roman;serif" w:hAnsi="Times New Roman;serif"/>
          <w:b w:val="false"/>
          <w:color w:val="000000"/>
          <w:sz w:val="22"/>
        </w:rPr>
        <w:t xml:space="preserve">Immediately upon receipt by the Borrower or any of its Subsidiaries of Net Cash Proceeds from (A) any sale or other disposition by the Borrower or any of its Subsidiaries of any of its assets pursuant to </w:t>
      </w:r>
      <w:r>
        <w:rPr>
          <w:rFonts w:ascii="Times New Roman;serif" w:hAnsi="Times New Roman;serif"/>
          <w:b w:val="false"/>
          <w:color w:val="000000"/>
          <w:sz w:val="22"/>
          <w:u w:val="single"/>
        </w:rPr>
        <w:t>Section 7.6(h)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or (B) any casualty insurance policies or eminent domain, condemnation or similar proceedings, the Borrower shall prepay the Obligations in an amount equal to 100% of Net Cash Proceeds;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prepay the Obligations so long as (i) such Net Cash Proceeds do not exceed the greater of $10,000,000 in any Fiscal Year and $35,000,000 in the aggregate after the Closing Date (and if such foregoing amount is exceeded, only such excess amounts shall be subject to this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or (ii) such Net Cash Proceeds are reinvested in assets of the general type used or useful in the business of the Borrower and its Subsidiaries within three hundred sixty-five (365) days following receipt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funds that are committed to be reinvested during the initial three hundred sixty-five (365) days after the receipt of such proceeds but the reinvestment has not yet occurred by the end of such period, the Borrower and its Subsidiaries shall have an additional one hundred eighty (180) day period to consummate such reinvestment;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any such proceeds have not been reinvested at the end of such additional period, the Borrower shall promptly prepay the Obligations and the Other Applicable Indebtedness (as defined below) as required by this </w:t>
      </w:r>
      <w:r>
        <w:rPr>
          <w:rFonts w:ascii="Times New Roman;serif" w:hAnsi="Times New Roman;serif"/>
          <w:b w:val="false"/>
          <w:color w:val="000000"/>
          <w:sz w:val="22"/>
          <w:u w:val="single"/>
        </w:rPr>
        <w:t>Section 2.12(a)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that if at the time that any such prepayment would be required under this clause (a), the Borrower is required to repay or repurchase or to offer to repurchase or repay Incremental Equivalent Debt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to the Obligations (including Incremental Equivalent Debt consisting of (x) term loans secured by a Lien on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Lien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036955"/>
                <wp:effectExtent l="0" t="0" r="0" b="0"/>
                <wp:wrapNone/>
                <wp:docPr id="192" name="Frame19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Collateral securing the Obligations and/or (y) senior unsecured notes) pursuant to the terms of the documentation governing such Incremental Equivalent Debt with such Net Cash Proceeds (such Incremental Equivalent Debt required to be repaid or repurchased or to be offered to be so repaid or repurchased, “</w:t>
      </w:r>
      <w:r>
        <w:rPr>
          <w:rFonts w:ascii="Times New Roman;serif" w:hAnsi="Times New Roman;serif"/>
          <w:b w:val="false"/>
          <w:color w:val="000000"/>
          <w:sz w:val="22"/>
          <w:u w:val="single"/>
        </w:rPr>
        <w:t>Other Applicable Indebtedness</w:t>
      </w:r>
      <w:r>
        <w:rPr>
          <w:color w:val="000000"/>
        </w:rPr>
        <w:t>”</w:t>
      </w:r>
      <w:r>
        <w:rPr>
          <w:rFonts w:ascii="Times New Roman;serif" w:hAnsi="Times New Roman;serif"/>
          <w:b w:val="false"/>
          <w:color w:val="000000"/>
          <w:sz w:val="22"/>
        </w:rPr>
        <w:t xml:space="preserve">), then the Borrower may apply such Net Cash Proceeds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to the prepayment of the Obligations and to the repayment or repurchase of Other Applicable Indebtedness, and the amount of prepayment of the Obligations that would have otherwise been required pursuant to this c</w:t>
      </w:r>
      <w:r>
        <w:rPr>
          <w:rFonts w:ascii="Times New Roman;serif" w:hAnsi="Times New Roman;serif"/>
          <w:b w:val="false"/>
          <w:color w:val="000000"/>
          <w:sz w:val="22"/>
          <w:u w:val="single"/>
        </w:rPr>
        <w:t>lause (a)</w:t>
      </w:r>
      <w:r>
        <w:rPr>
          <w:color w:val="000000"/>
        </w:rPr>
        <w:t xml:space="preserve"> </w:t>
      </w:r>
      <w:r>
        <w:rPr>
          <w:rFonts w:ascii="Times New Roman;serif" w:hAnsi="Times New Roman;serif"/>
          <w:b w:val="false"/>
          <w:color w:val="000000"/>
          <w:sz w:val="22"/>
        </w:rPr>
        <w:t xml:space="preserve">shall be reduced accordingly (for purposes of this proviso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shall be determined on the basis of the aggregate outstanding principal amount of the Obligations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Obligations in accordance with the terms 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to the extent the holders of Other Applicable Indebtedness decline to have such indebtedness repurchased or prepaid, the declined amount shall promptly (and in any event within ten (10) Business Days after the date of such rejection) be applied to prepay the Obligations in accordance with the terms hereof. Any such prepayment shall be applied in accordance with subsection (d) of this Section.</w:t>
      </w:r>
    </w:p>
    <w:p>
      <w:pPr>
        <w:pStyle w:val="TextBody"/>
        <w:bidi w:val="0"/>
        <w:spacing w:lineRule="auto" w:line="240" w:before="0" w:after="240"/>
        <w:ind w:left="0" w:right="0" w:firstLine="1440"/>
        <w:jc w:val="both"/>
        <w:rPr/>
      </w:pPr>
      <w:bookmarkStart w:id="108" w:name="i51ca261ba94146d7a2b12d08bb2a3807"/>
      <w:bookmarkEnd w:id="108"/>
      <w:r>
        <w:rPr>
          <w:rFonts w:ascii="Times New Roman;serif" w:hAnsi="Times New Roman;serif"/>
          <w:b w:val="false"/>
          <w:color w:val="000000"/>
          <w:sz w:val="22"/>
        </w:rPr>
        <w:t>(b)</w:t>
      </w:r>
      <w:r>
        <w:rPr>
          <w:rFonts w:ascii="Times New Roman;serif" w:hAnsi="Times New Roman;serif"/>
          <w:b w:val="false"/>
          <w:color w:val="000000"/>
          <w:sz w:val="22"/>
        </w:rPr>
        <w:t xml:space="preserve">Immediately upon receipt by the Borrower or any of its Subsidiaries of any Net Cash Proceeds from any issuance or incurrence of Indebtedness by the Borrower or any of its Subsidiaries, the Borrower shall prepay the Obligations in an amount equal to 100% of such Net Cash Proceeds;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prepay the Obligations with respect to proceeds of Indebtedness permitted under </w:t>
      </w:r>
      <w:r>
        <w:rPr>
          <w:rFonts w:ascii="Times New Roman;serif" w:hAnsi="Times New Roman;serif"/>
          <w:b w:val="false"/>
          <w:color w:val="000000"/>
          <w:sz w:val="22"/>
          <w:u w:val="single"/>
        </w:rPr>
        <w:t>Section 7.1</w:t>
      </w:r>
      <w:r>
        <w:rPr>
          <w:rFonts w:ascii="Times New Roman;serif" w:hAnsi="Times New Roman;serif"/>
          <w:b w:val="false"/>
          <w:color w:val="000000"/>
          <w:sz w:val="22"/>
        </w:rPr>
        <w:t>. Any such prepayment shall be applied in accordance with subsection (d) of this Section.</w:t>
      </w:r>
    </w:p>
    <w:p>
      <w:pPr>
        <w:pStyle w:val="TextBody"/>
        <w:bidi w:val="0"/>
        <w:spacing w:lineRule="auto" w:line="240" w:before="0" w:after="240"/>
        <w:ind w:left="0" w:right="0" w:firstLine="1440"/>
        <w:jc w:val="both"/>
        <w:rPr/>
      </w:pPr>
      <w:bookmarkStart w:id="109" w:name="iadb55d6c1b29483ea3621c57bdf424af"/>
      <w:bookmarkEnd w:id="109"/>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110" w:name="i698cf9bda798418aa81db6890e57f2c5"/>
      <w:bookmarkEnd w:id="110"/>
      <w:r>
        <w:rPr>
          <w:rFonts w:ascii="Times New Roman;serif" w:hAnsi="Times New Roman;serif"/>
          <w:b w:val="false"/>
          <w:color w:val="000000"/>
          <w:sz w:val="22"/>
        </w:rPr>
        <w:t>(d)</w:t>
      </w:r>
      <w:r>
        <w:rPr>
          <w:rFonts w:ascii="Times New Roman;serif" w:hAnsi="Times New Roman;serif"/>
          <w:b w:val="false"/>
          <w:color w:val="000000"/>
          <w:sz w:val="22"/>
        </w:rPr>
        <w:t xml:space="preserve">Any prepayments made by the Borrower pursuant to subsection (a) or (b) of this Section shall be applied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Administrative Agent’s fees and reimbursable expenses then due and payable pursuant to any of the Loan Documents;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unless otherwise provided in the applicable Incremental Commitment Joinder, Extended Facility Agreement or Refinancing Amendment, as applicable, to the principal balance of the Term Loans, until the same shall have been paid in full,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Term Lenders based on their Pro Rata Shares of the Term Loans, and applied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across all installments of the Term Loans, including the final installment on the Maturity Date;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the principal balance of the Swingline Loans, until the same shall have been paid in full, to the Swingline Lender;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the principal balance of the Revolving Loans, until the same shall have been paid in full,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Revolving Lenders based on their respective Revolving Commitments; and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Cash Collateralize the Letters of Credit in an amount in cash equal to the LC Exposure as of such date plus any accrued and unpaid fees thereon. The Revolving Commitments of the Revolving Lenders shall not be permanently reduced by the amount of any prepayments made pursuant to clauses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 xml:space="preserve">fifth </w:t>
      </w:r>
      <w:r>
        <w:rPr>
          <w:rFonts w:ascii="Times New Roman;serif" w:hAnsi="Times New Roman;serif"/>
          <w:b w:val="false"/>
          <w:color w:val="000000"/>
          <w:sz w:val="22"/>
        </w:rPr>
        <w:t>above.</w:t>
      </w:r>
    </w:p>
    <w:p>
      <w:pPr>
        <w:pStyle w:val="TextBody"/>
        <w:bidi w:val="0"/>
        <w:spacing w:lineRule="auto" w:line="240" w:before="0" w:after="240"/>
        <w:ind w:left="0" w:right="0" w:firstLine="1440"/>
        <w:jc w:val="both"/>
        <w:rPr/>
      </w:pPr>
      <w:bookmarkStart w:id="111" w:name="i015651354f6445d98e44d4c2d8821cc2"/>
      <w:bookmarkEnd w:id="111"/>
      <w:r>
        <w:rPr>
          <w:rFonts w:ascii="Times New Roman;serif" w:hAnsi="Times New Roman;serif"/>
          <w:b w:val="false"/>
          <w:color w:val="000000"/>
          <w:sz w:val="22"/>
        </w:rPr>
        <w:t>(e)</w:t>
      </w:r>
      <w:r>
        <w:rPr>
          <w:rFonts w:ascii="Times New Roman;serif" w:hAnsi="Times New Roman;serif"/>
          <w:b w:val="false"/>
          <w:color w:val="000000"/>
          <w:sz w:val="22"/>
        </w:rPr>
        <w:t xml:space="preserve">If at any time the aggregate Revolving Credit Exposure of all Revolving Lenders exceeds the Aggregate Revolving Commitment Amount, as reduced pursuant to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 xml:space="preserve">or otherwise, the Borrower shall immediately repay the Swingline Loans and the Revolving Loans in an amount equal to such excess, together with all accrued and unpaid interest on such excess amount and any amounts due under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Each such prepayment shall be applied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Swingline Loans to the full extent thereof;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Base Rate Revolving Loans to the full extent thereof; and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the SOFR Revolving Loans to the full extent thereof. If, after giving effect to prepayment of all Swingline Loans and Revolving Loans, the aggregate Revolving Credit Exposure of all Revolving Lenders exceeds the Aggregate Revolving Commitment Amount, the Borrower shall Cash Collateralize its reimbursement obligations with respect to all Letters of Credit in an amount equal to such excess plus any accrued and unpaid fees thereon. </w:t>
      </w:r>
    </w:p>
    <w:p>
      <w:pPr>
        <w:pStyle w:val="TextBody"/>
        <w:bidi w:val="0"/>
        <w:spacing w:lineRule="auto" w:line="240" w:before="0" w:after="240"/>
        <w:ind w:left="0" w:right="0" w:firstLine="720"/>
        <w:jc w:val="both"/>
        <w:rPr/>
      </w:pPr>
      <w:bookmarkStart w:id="112" w:name="i7ba9481f00614b26bebebc3a4ea2318e"/>
      <w:bookmarkEnd w:id="112"/>
      <w:r>
        <w:rPr>
          <w:rFonts w:ascii="Times New Roman;serif" w:hAnsi="Times New Roman;serif"/>
          <w:b/>
          <w:color w:val="000000"/>
          <w:sz w:val="22"/>
        </w:rPr>
        <w:t>Section 2.13</w:t>
      </w:r>
      <w:r>
        <w:rPr>
          <w:rFonts w:ascii="Times New Roman;serif" w:hAnsi="Times New Roman;serif"/>
          <w:b/>
          <w:color w:val="000000"/>
          <w:sz w:val="22"/>
          <w:u w:val="single"/>
        </w:rPr>
        <w:t>Interest on Loans.</w:t>
      </w:r>
    </w:p>
    <w:p>
      <w:pPr>
        <w:pStyle w:val="TextBody"/>
        <w:bidi w:val="0"/>
        <w:spacing w:lineRule="auto" w:line="240" w:before="0" w:after="240"/>
        <w:ind w:left="0" w:right="0" w:firstLine="1440"/>
        <w:jc w:val="both"/>
        <w:rPr/>
      </w:pPr>
      <w:bookmarkStart w:id="113" w:name="i3d89e3d79d7b4396ba6bb0636a6e4c1e"/>
      <w:bookmarkEnd w:id="113"/>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pay interest on (i) each Base Rate Loan at the Base Rate plus the Applicable Margin for such Loan in effect from time to time and (ii) each SOFR Loan at Term SOFR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036955"/>
                <wp:effectExtent l="0" t="0" r="0" b="0"/>
                <wp:wrapNone/>
                <wp:docPr id="193" name="Frame19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applicable Interest Period in effect for such Loan plus the Applicable Margin for such Loan in effect from time to time.</w:t>
      </w:r>
    </w:p>
    <w:p>
      <w:pPr>
        <w:pStyle w:val="TextBody"/>
        <w:bidi w:val="0"/>
        <w:spacing w:lineRule="auto" w:line="240" w:before="0" w:after="240"/>
        <w:ind w:left="0" w:right="0" w:firstLine="1440"/>
        <w:jc w:val="both"/>
        <w:rPr/>
      </w:pPr>
      <w:bookmarkStart w:id="114" w:name="i2fd778abf92843b6bd5fb5e4f4f78001"/>
      <w:bookmarkEnd w:id="114"/>
      <w:r>
        <w:rPr>
          <w:rFonts w:ascii="Times New Roman;serif" w:hAnsi="Times New Roman;serif"/>
          <w:b w:val="false"/>
          <w:color w:val="000000"/>
          <w:sz w:val="22"/>
        </w:rPr>
        <w:t>(b)</w:t>
      </w:r>
      <w:r>
        <w:rPr>
          <w:rFonts w:ascii="Times New Roman;serif" w:hAnsi="Times New Roman;serif"/>
          <w:b w:val="false"/>
          <w:color w:val="000000"/>
          <w:sz w:val="22"/>
        </w:rPr>
        <w:t>The Borrower shall pay interest on each Swingline Loan at the Base Rate plus the Applicable Margin for Revolving Base Rate Loans in effect from time to time.</w:t>
      </w:r>
    </w:p>
    <w:p>
      <w:pPr>
        <w:pStyle w:val="TextBody"/>
        <w:bidi w:val="0"/>
        <w:spacing w:lineRule="auto" w:line="240" w:before="0" w:after="240"/>
        <w:ind w:left="0" w:right="0" w:firstLine="1440"/>
        <w:jc w:val="both"/>
        <w:rPr/>
      </w:pPr>
      <w:bookmarkStart w:id="115" w:name="i8c2bbf9c430b4f11b7d29638e922860a"/>
      <w:bookmarkEnd w:id="115"/>
      <w:r>
        <w:rPr>
          <w:rFonts w:ascii="Times New Roman;serif" w:hAnsi="Times New Roman;serif"/>
          <w:b w:val="false"/>
          <w:color w:val="000000"/>
          <w:sz w:val="22"/>
        </w:rPr>
        <w:t>(c)</w:t>
      </w:r>
      <w:r>
        <w:rPr>
          <w:rFonts w:ascii="Times New Roman;serif" w:hAnsi="Times New Roman;serif"/>
          <w:b w:val="false"/>
          <w:color w:val="000000"/>
          <w:sz w:val="22"/>
        </w:rPr>
        <w:t>Notwithstanding subsections (a) and (b) of this Section, at the option of the Administrative Agent or the Required Lenders if an Event of Default has occurred and is continuing, and automatically after acceleration or with respect to any Specified Event of Default, the Borrower shall pay interest (“</w:t>
      </w:r>
      <w:r>
        <w:rPr>
          <w:rFonts w:ascii="Times New Roman;serif" w:hAnsi="Times New Roman;serif"/>
          <w:b w:val="false"/>
          <w:color w:val="000000"/>
          <w:sz w:val="22"/>
          <w:u w:val="single"/>
        </w:rPr>
        <w:t>Default Interest</w:t>
      </w:r>
      <w:r>
        <w:rPr>
          <w:color w:val="000000"/>
        </w:rPr>
        <w:t>”</w:t>
      </w:r>
      <w:r>
        <w:rPr>
          <w:rFonts w:ascii="Times New Roman;serif" w:hAnsi="Times New Roman;serif"/>
          <w:b w:val="false"/>
          <w:color w:val="000000"/>
          <w:sz w:val="22"/>
        </w:rPr>
        <w:t xml:space="preserve">) with respect to all SOFR Loans at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200 basis points above the otherwise applicable interest rate for such SOFR Loans for the then-current Interest Period until the last day of such Interest Period, and thereafter, and with respect to all Base Rate Loans and all other Obligations hereunder (other than Loans), at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200 basis points above the otherwise applicable interest rate for Base Rate Loans. </w:t>
      </w:r>
    </w:p>
    <w:p>
      <w:pPr>
        <w:pStyle w:val="TextBody"/>
        <w:bidi w:val="0"/>
        <w:spacing w:lineRule="auto" w:line="240" w:before="0" w:after="240"/>
        <w:ind w:left="0" w:right="0" w:firstLine="1440"/>
        <w:jc w:val="both"/>
        <w:rPr/>
      </w:pPr>
      <w:bookmarkStart w:id="116" w:name="i435ed1997bdd44caac7e28ec45e6a44d"/>
      <w:bookmarkEnd w:id="116"/>
      <w:r>
        <w:rPr>
          <w:rFonts w:ascii="Times New Roman;serif" w:hAnsi="Times New Roman;serif"/>
          <w:b w:val="false"/>
          <w:color w:val="000000"/>
          <w:sz w:val="22"/>
        </w:rPr>
        <w:t>(d)</w:t>
      </w:r>
      <w:r>
        <w:rPr>
          <w:rFonts w:ascii="Times New Roman;serif" w:hAnsi="Times New Roman;serif"/>
          <w:b w:val="false"/>
          <w:color w:val="000000"/>
          <w:sz w:val="22"/>
        </w:rPr>
        <w:t>Interest on the principal amount of all Loans shall accrue from and including the date such Loans are made to but excluding the date of any repayment thereof. Interest on all outstanding Base Rate Loans and Swingline Loans shall be payable quarterly in arrears on the last Business Day of each March, June, September and December and on the Revolving Commitment Termination Date (with respect to all Revolving Loans) or the Maturity Date (with respect to all Term Loans), as the case may be. Interest on all outstanding SOFR Loans shall be payable on the last day of each Interest Period applicable thereto, and, in the case of any SOFR Loans having an Interest Period in excess of three months, on each day which occurs every three months after the initial date of such Interest Period, and on the Revolving Commitment Termination Date (with respect to all Revolving Loans) or the Maturity Date (with respect to all Term Loans), as the case may be.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pStyle w:val="TextBody"/>
        <w:bidi w:val="0"/>
        <w:spacing w:lineRule="auto" w:line="240" w:before="0" w:after="240"/>
        <w:ind w:left="0" w:right="0" w:firstLine="1440"/>
        <w:jc w:val="both"/>
        <w:rPr/>
      </w:pPr>
      <w:bookmarkStart w:id="117" w:name="i639d61fc1e874f7ebd19976a7ea1cbd3"/>
      <w:bookmarkEnd w:id="117"/>
      <w:r>
        <w:rPr>
          <w:rFonts w:ascii="Times New Roman;serif" w:hAnsi="Times New Roman;serif"/>
          <w:b w:val="false"/>
          <w:color w:val="000000"/>
          <w:sz w:val="22"/>
        </w:rPr>
        <w:t>(e)</w:t>
      </w:r>
      <w:r>
        <w:rPr>
          <w:rFonts w:ascii="Times New Roman;serif" w:hAnsi="Times New Roman;serif"/>
          <w:b w:val="false"/>
          <w:color w:val="000000"/>
          <w:sz w:val="22"/>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pStyle w:val="TextBody"/>
        <w:bidi w:val="0"/>
        <w:spacing w:lineRule="auto" w:line="240" w:before="0" w:after="240"/>
        <w:ind w:left="0" w:right="0" w:firstLine="1440"/>
        <w:jc w:val="both"/>
        <w:rPr/>
      </w:pPr>
      <w:bookmarkStart w:id="118" w:name="ie457b2a8beda4be2add9d7d39fe8bf15"/>
      <w:bookmarkEnd w:id="118"/>
      <w:r>
        <w:rPr>
          <w:rFonts w:ascii="Times New Roman;serif" w:hAnsi="Times New Roman;serif"/>
          <w:b w:val="false"/>
          <w:color w:val="000000"/>
          <w:sz w:val="22"/>
        </w:rPr>
        <w:t>(f)</w:t>
      </w:r>
      <w:r>
        <w:rPr>
          <w:rFonts w:ascii="Times New Roman;serif" w:hAnsi="Times New Roman;serif"/>
          <w:b w:val="false"/>
          <w:color w:val="000000"/>
          <w:sz w:val="22"/>
        </w:rPr>
        <w:t>In connection with the use or administration of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lineRule="auto" w:line="240" w:before="0" w:after="240"/>
        <w:ind w:left="0" w:right="0" w:firstLine="720"/>
        <w:jc w:val="both"/>
        <w:rPr/>
      </w:pPr>
      <w:bookmarkStart w:id="119" w:name="i69e4d89ca2094a0dbafe93fdfdd07f9f"/>
      <w:bookmarkEnd w:id="119"/>
      <w:r>
        <w:rPr>
          <w:rFonts w:ascii="Times New Roman;serif" w:hAnsi="Times New Roman;serif"/>
          <w:b/>
          <w:color w:val="000000"/>
          <w:sz w:val="22"/>
        </w:rPr>
        <w:t>Section 2.14</w:t>
      </w:r>
      <w:r>
        <w:rPr>
          <w:rFonts w:ascii="Times New Roman;serif" w:hAnsi="Times New Roman;serif"/>
          <w:b/>
          <w:color w:val="000000"/>
          <w:sz w:val="22"/>
          <w:u w:val="single"/>
        </w:rPr>
        <w:t>Fees.</w:t>
      </w:r>
    </w:p>
    <w:p>
      <w:pPr>
        <w:pStyle w:val="TextBody"/>
        <w:bidi w:val="0"/>
        <w:spacing w:lineRule="auto" w:line="240" w:before="0" w:after="240"/>
        <w:ind w:left="0" w:right="0" w:firstLine="1440"/>
        <w:jc w:val="both"/>
        <w:rPr/>
      </w:pPr>
      <w:bookmarkStart w:id="120" w:name="i2dd49eb395f740adb62632cd51aa3b44"/>
      <w:bookmarkEnd w:id="120"/>
      <w:r>
        <w:rPr>
          <w:rFonts w:ascii="Times New Roman;serif" w:hAnsi="Times New Roman;serif"/>
          <w:b w:val="false"/>
          <w:color w:val="000000"/>
          <w:sz w:val="22"/>
        </w:rPr>
        <w:t>(a)</w:t>
      </w:r>
      <w:r>
        <w:rPr>
          <w:rFonts w:ascii="Times New Roman;serif" w:hAnsi="Times New Roman;serif"/>
          <w:b w:val="false"/>
          <w:color w:val="000000"/>
          <w:sz w:val="22"/>
        </w:rPr>
        <w:t>The Borrower shall pay to the Administrative Agent for its own account fees in the amounts and at the times previously agreed upon in writing by the Borrower and the Administrative Agent.</w:t>
      </w:r>
    </w:p>
    <w:p>
      <w:pPr>
        <w:pStyle w:val="TextBody"/>
        <w:bidi w:val="0"/>
        <w:spacing w:lineRule="auto" w:line="240" w:before="0" w:after="240"/>
        <w:ind w:left="0" w:right="0" w:firstLine="1440"/>
        <w:jc w:val="both"/>
        <w:rPr/>
      </w:pPr>
      <w:bookmarkStart w:id="121" w:name="ife38184b3f3c40328c7952a852ff354d"/>
      <w:bookmarkEnd w:id="121"/>
      <w:r>
        <w:rPr>
          <w:rFonts w:ascii="Times New Roman;serif" w:hAnsi="Times New Roman;serif"/>
          <w:b w:val="false"/>
          <w:color w:val="000000"/>
          <w:sz w:val="22"/>
        </w:rPr>
        <w:t>(b)</w:t>
      </w:r>
      <w:r>
        <w:rPr>
          <w:rFonts w:ascii="Times New Roman;serif" w:hAnsi="Times New Roman;serif"/>
          <w:b w:val="false"/>
          <w:color w:val="000000"/>
          <w:sz w:val="22"/>
        </w:rPr>
        <w:t>The Borrower agrees to pay to the Administrative Agent for the account of each Revolving Lender a commitment fee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which shall accrue at the Applicable Percentage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(determined daily in accordance with </w:t>
      </w:r>
      <w:r>
        <w:rPr>
          <w:rFonts w:ascii="Times New Roman;serif" w:hAnsi="Times New Roman;serif"/>
          <w:b w:val="false"/>
          <w:color w:val="000000"/>
          <w:sz w:val="22"/>
          <w:u w:val="single"/>
        </w:rPr>
        <w:t>Schedule I</w:t>
      </w:r>
      <w:r>
        <w:rPr>
          <w:rFonts w:ascii="Times New Roman;serif" w:hAnsi="Times New Roman;serif"/>
          <w:b w:val="false"/>
          <w:color w:val="000000"/>
          <w:sz w:val="22"/>
        </w:rPr>
        <w:t>) on the daily amount of the unused Revolving Commitment of such Lender during the Availability Period.</w:t>
      </w:r>
      <w:r>
        <w:rPr>
          <w:color w:val="000000"/>
        </w:rPr>
        <w:t xml:space="preserve"> </w:t>
      </w:r>
      <w:r>
        <w:rPr>
          <w:rFonts w:ascii="Times New Roman;serif" w:hAnsi="Times New Roman;serif"/>
          <w:b w:val="false"/>
          <w:color w:val="000000"/>
          <w:sz w:val="22"/>
        </w:rPr>
        <w:t xml:space="preserve">For purposes of computing the Commitment Fee, the Revolving Commitment of each Revolving Lender shall be deemed used to the extent of the outstanding Revolving Loans and LC Exposure, but not Swingline Exposure, of such Lender. </w:t>
      </w:r>
    </w:p>
    <w:p>
      <w:pPr>
        <w:pStyle w:val="TextBody"/>
        <w:bidi w:val="0"/>
        <w:spacing w:lineRule="auto" w:line="240" w:before="0" w:after="240"/>
        <w:ind w:left="0" w:right="0" w:firstLine="1440"/>
        <w:jc w:val="both"/>
        <w:rPr/>
      </w:pPr>
      <w:bookmarkStart w:id="122" w:name="i218fe0e33db3460faee91bd5ef7b05ce"/>
      <w:bookmarkEnd w:id="122"/>
      <w:r>
        <w:rPr>
          <w:rFonts w:ascii="Times New Roman;serif" w:hAnsi="Times New Roman;serif"/>
          <w:b w:val="false"/>
          <w:color w:val="000000"/>
          <w:sz w:val="22"/>
        </w:rPr>
        <w:t>(c)</w:t>
      </w:r>
      <w:r>
        <w:rPr>
          <w:rFonts w:ascii="Times New Roman;serif" w:hAnsi="Times New Roman;serif"/>
          <w:b w:val="false"/>
          <w:color w:val="000000"/>
          <w:sz w:val="22"/>
        </w:rPr>
        <w:t xml:space="preserve">The Borrower agrees to pay (i) to the Administrative Agent, for the account of each Revolving Lender, a letter of credit fee with respect to its participation in each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036955"/>
                <wp:effectExtent l="0" t="0" r="0" b="0"/>
                <wp:wrapNone/>
                <wp:docPr id="194" name="Frame19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which shall accrue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the Applicable Margin for Revolving SOFR Loans then in effect on the average daily amount of such Lender’s LC Exposure attributable to such Letter of Credit during the period from and including the date of issuance of such Letter of Credit to but excluding the date on which such Letter of Credit expires or is drawn in full (including any LC Exposure that remains outstanding after the Revolving Commitment Termination Date) and (ii) to each Issuing Bank for its own account a fronting fee, which shall accrue at 0.125% per annum on the average daily amount of the LC Exposure (excluding any portion thereof attributable to unreimbursed LC Disbursements) during the Availability Period (or until the date that such Letter of Credit is irrevocably cancelled, whichever is later), as well as such Issuing Bank’s standard fees with respect to issuance, amendment, renewal or extension of any Letter of Credit or processing of drawings thereunder. Notwithstanding the foregoing, if the interest rate on the Loans is increased to the rate for Default Interest pursuant to </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 xml:space="preserve">(as a result of an election by the Required Lenders or otherwise in accordance with the terms thereof), the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used to calculate the letter of credit fee pursuant to clause (i) above shall automatically be increased by 200 basis points.</w:t>
      </w:r>
    </w:p>
    <w:p>
      <w:pPr>
        <w:pStyle w:val="TextBody"/>
        <w:bidi w:val="0"/>
        <w:spacing w:lineRule="auto" w:line="240" w:before="0" w:after="240"/>
        <w:ind w:left="0" w:right="0" w:firstLine="1440"/>
        <w:jc w:val="both"/>
        <w:rPr/>
      </w:pPr>
      <w:bookmarkStart w:id="123" w:name="i6ddf02d32b884f319fd10dc08761bb5c"/>
      <w:bookmarkEnd w:id="123"/>
      <w:r>
        <w:rPr>
          <w:rFonts w:ascii="Times New Roman;serif" w:hAnsi="Times New Roman;serif"/>
          <w:b w:val="false"/>
          <w:color w:val="000000"/>
          <w:sz w:val="22"/>
        </w:rPr>
        <w:t>(d)</w:t>
      </w:r>
      <w:r>
        <w:rPr>
          <w:rFonts w:ascii="Times New Roman;serif" w:hAnsi="Times New Roman;serif"/>
          <w:b w:val="false"/>
          <w:color w:val="000000"/>
          <w:sz w:val="22"/>
        </w:rPr>
        <w:t>The Borrower shall pay to the Administrative Agent for the account of each Delayed Draw Term Lender that is not a Defaulting Lender in accordance with its Pro Rata Share, a ticking fee (the “</w:t>
      </w:r>
      <w:r>
        <w:rPr>
          <w:rFonts w:ascii="Times New Roman;serif" w:hAnsi="Times New Roman;serif"/>
          <w:b w:val="false"/>
          <w:color w:val="000000"/>
          <w:sz w:val="22"/>
          <w:u w:val="single"/>
        </w:rPr>
        <w:t>Delayed Draw Term Ticking Fee</w:t>
      </w:r>
      <w:r>
        <w:rPr>
          <w:color w:val="000000"/>
        </w:rPr>
        <w:t>”</w:t>
      </w:r>
      <w:r>
        <w:rPr>
          <w:rFonts w:ascii="Times New Roman;serif" w:hAnsi="Times New Roman;serif"/>
          <w:b w:val="false"/>
          <w:color w:val="000000"/>
          <w:sz w:val="22"/>
        </w:rPr>
        <w:t>) equal to the Applicable Ticking Fee Rate</w:t>
      </w:r>
      <w:r>
        <w:rPr>
          <w:color w:val="000000"/>
        </w:rPr>
        <w:t xml:space="preserve"> </w:t>
      </w:r>
      <w:r>
        <w:rPr>
          <w:rFonts w:ascii="Times New Roman;serif" w:hAnsi="Times New Roman;serif"/>
          <w:b w:val="false"/>
          <w:color w:val="000000"/>
          <w:sz w:val="22"/>
        </w:rPr>
        <w:t xml:space="preserve">multiplied by the average daily amount of the unused portion of the Delayed Draw Term Loan Commitment of such Term Lender during the period from and including the Closing Date to the Delayed Draw Term Commitment Termination Date. </w:t>
      </w:r>
    </w:p>
    <w:p>
      <w:pPr>
        <w:pStyle w:val="TextBody"/>
        <w:bidi w:val="0"/>
        <w:spacing w:lineRule="auto" w:line="240" w:before="0" w:after="240"/>
        <w:ind w:left="0" w:right="0" w:firstLine="1440"/>
        <w:jc w:val="both"/>
        <w:rPr/>
      </w:pPr>
      <w:bookmarkStart w:id="124" w:name="if0cb8319ec4249ada923c1f57f37f5b9"/>
      <w:bookmarkEnd w:id="124"/>
      <w:r>
        <w:rPr>
          <w:rFonts w:ascii="Times New Roman;serif" w:hAnsi="Times New Roman;serif"/>
          <w:b w:val="false"/>
          <w:color w:val="000000"/>
          <w:sz w:val="22"/>
        </w:rPr>
        <w:t>(e)</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125" w:name="id804762afb4945aaafac3bffd9908e5d"/>
      <w:bookmarkEnd w:id="125"/>
      <w:r>
        <w:rPr>
          <w:rFonts w:ascii="Times New Roman;serif" w:hAnsi="Times New Roman;serif"/>
          <w:b w:val="false"/>
          <w:color w:val="000000"/>
          <w:sz w:val="22"/>
        </w:rPr>
        <w:t>(f)</w:t>
      </w:r>
      <w:r>
        <w:rPr>
          <w:rFonts w:ascii="Times New Roman;serif" w:hAnsi="Times New Roman;serif"/>
          <w:b w:val="false"/>
          <w:color w:val="000000"/>
          <w:sz w:val="22"/>
        </w:rPr>
        <w:t>The Borrower shall pay on the Closing Date to the Administrative Agent and its affiliates all fees in the Fee Letters that are due and payable on the Closing Date.</w:t>
      </w:r>
      <w:r>
        <w:rPr>
          <w:color w:val="000000"/>
        </w:rPr>
        <w:t xml:space="preserve"> </w:t>
      </w:r>
    </w:p>
    <w:p>
      <w:pPr>
        <w:pStyle w:val="TextBody"/>
        <w:bidi w:val="0"/>
        <w:spacing w:lineRule="auto" w:line="240" w:before="0" w:after="240"/>
        <w:ind w:left="0" w:right="0" w:firstLine="1440"/>
        <w:jc w:val="both"/>
        <w:rPr/>
      </w:pPr>
      <w:bookmarkStart w:id="126" w:name="i476913633c184948974bbb20c407d083"/>
      <w:bookmarkEnd w:id="126"/>
      <w:r>
        <w:rPr>
          <w:rFonts w:ascii="Times New Roman;serif" w:hAnsi="Times New Roman;serif"/>
          <w:b w:val="false"/>
          <w:color w:val="000000"/>
          <w:sz w:val="22"/>
        </w:rPr>
        <w:t>(g)</w:t>
      </w:r>
      <w:r>
        <w:rPr>
          <w:rFonts w:ascii="Times New Roman;serif" w:hAnsi="Times New Roman;serif"/>
          <w:b w:val="false"/>
          <w:color w:val="000000"/>
          <w:sz w:val="22"/>
        </w:rPr>
        <w:t xml:space="preserve">Accrued fees under subsections (b) and (c) of this Section shall be payable quarterly in arrears on the last day of each March, June, September and December, commencing with the first payment due (on a prorated basis) on December 31, 2025, and on the Revolving Commitment Termination Date (and, if later, the date the Loans and LC Exposure shall be repaid in their entirety);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fees accruing after the Revolving Commitment Termination Date shall be payable on demand. Accrued fees under subsection (d) of this Section shall be payable quarterly in arrears on the last day of each March, June, September and December, commencing with the first payment due (on a prorated basis) on December 31, 2025, and on the Delayed Draw Term Commitment Termination Date. </w:t>
      </w:r>
    </w:p>
    <w:p>
      <w:pPr>
        <w:pStyle w:val="TextBody"/>
        <w:bidi w:val="0"/>
        <w:spacing w:lineRule="auto" w:line="240" w:before="0" w:after="240"/>
        <w:ind w:left="0" w:right="0" w:firstLine="720"/>
        <w:jc w:val="both"/>
        <w:rPr/>
      </w:pPr>
      <w:bookmarkStart w:id="127" w:name="i8e9eb29d02db48ca8514ffef1bb3e0d6"/>
      <w:bookmarkEnd w:id="127"/>
      <w:r>
        <w:rPr>
          <w:rFonts w:ascii="Times New Roman;serif" w:hAnsi="Times New Roman;serif"/>
          <w:b/>
          <w:color w:val="000000"/>
          <w:sz w:val="22"/>
        </w:rPr>
        <w:t>Section 2.15</w:t>
      </w:r>
      <w:r>
        <w:rPr>
          <w:rFonts w:ascii="Times New Roman;serif" w:hAnsi="Times New Roman;serif"/>
          <w:b/>
          <w:color w:val="000000"/>
          <w:sz w:val="22"/>
          <w:u w:val="single"/>
        </w:rPr>
        <w:t>Computation of Interest and Fees.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pStyle w:val="TextBody"/>
        <w:bidi w:val="0"/>
        <w:spacing w:lineRule="auto" w:line="240" w:before="0" w:after="240"/>
        <w:ind w:left="0" w:right="0" w:firstLine="720"/>
        <w:jc w:val="both"/>
        <w:rPr/>
      </w:pPr>
      <w:bookmarkStart w:id="128" w:name="ifb050865afd74236838e8f67dce683ad"/>
      <w:bookmarkEnd w:id="128"/>
      <w:r>
        <w:rPr>
          <w:rFonts w:ascii="Times New Roman;serif" w:hAnsi="Times New Roman;serif"/>
          <w:b/>
          <w:color w:val="000000"/>
          <w:sz w:val="22"/>
        </w:rPr>
        <w:t>Section 2.16</w:t>
      </w:r>
      <w:r>
        <w:rPr>
          <w:rFonts w:ascii="Times New Roman;serif" w:hAnsi="Times New Roman;serif"/>
          <w:b/>
          <w:color w:val="000000"/>
          <w:sz w:val="22"/>
          <w:u w:val="single"/>
        </w:rPr>
        <w:t>Inability to Determine Interest Rates; Benchmark Replacement Setting.</w:t>
      </w:r>
    </w:p>
    <w:p>
      <w:pPr>
        <w:pStyle w:val="TextBody"/>
        <w:bidi w:val="0"/>
        <w:spacing w:lineRule="auto" w:line="240" w:before="0" w:after="240"/>
        <w:ind w:left="0" w:right="0" w:firstLine="1980"/>
        <w:jc w:val="both"/>
        <w:rPr/>
      </w:pPr>
      <w:bookmarkStart w:id="129" w:name="i6ef8f913838f4aa8989944ebd812fdec"/>
      <w:bookmarkEnd w:id="129"/>
      <w:r>
        <w:rPr>
          <w:rFonts w:ascii="Times New Roman;serif" w:hAnsi="Times New Roman;serif"/>
          <w:b w:val="false"/>
          <w:color w:val="000000"/>
          <w:sz w:val="22"/>
        </w:rPr>
        <w:t>(a)</w:t>
      </w:r>
      <w:r>
        <w:rPr>
          <w:rFonts w:ascii="Times New Roman;serif" w:hAnsi="Times New Roman;serif"/>
          <w:b w:val="false"/>
          <w:color w:val="000000"/>
          <w:sz w:val="22"/>
          <w:u w:val="single"/>
        </w:rPr>
        <w:t>Inability to Determine SOFR</w:t>
      </w:r>
      <w:r>
        <w:rPr>
          <w:rFonts w:ascii="Times New Roman;serif" w:hAnsi="Times New Roman;serif"/>
          <w:b w:val="false"/>
          <w:color w:val="000000"/>
          <w:sz w:val="22"/>
        </w:rPr>
        <w:t>. Subject to subsections (b) through (f) below, if, prior to the commencement of any Interest Period for any SOFR Borrowing:</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30" w:name="i68b19c0e17924fb1942334af6630ef0b"/>
      <w:bookmarkEnd w:id="130"/>
      <w:r>
        <w:rPr>
          <w:rFonts w:ascii="Times New Roman;serif" w:hAnsi="Times New Roman;serif"/>
          <w:b w:val="false"/>
          <w:color w:val="000000"/>
          <w:sz w:val="22"/>
        </w:rPr>
        <w:t xml:space="preserve">(i)the Administrative Agent shall have determined (which determination shall be conclusive absent manifest error) that “Term SOFR” cannot be determined pursuant to the definition thereof, or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036955"/>
                <wp:effectExtent l="0" t="0" r="0" b="0"/>
                <wp:wrapNone/>
                <wp:docPr id="195" name="Frame19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31" w:name="i90a22d2400db4b309b906ad4ed844de8"/>
      <w:bookmarkEnd w:id="131"/>
      <w:r>
        <w:rPr>
          <w:rFonts w:ascii="Times New Roman;serif" w:hAnsi="Times New Roman;serif"/>
          <w:b w:val="false"/>
          <w:color w:val="000000"/>
          <w:sz w:val="22"/>
        </w:rPr>
        <w:t>(ii)the Administrative Agent shall have received notice from the Required Lenders that Term SOFR for such Interest Period will not adequately and fairly reflect the cost to such Lenders of making, funding or maintaining their SOFR Loans for such Interest Period,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then the Administrative Agent shall give written notice thereof (or telephonic notice, promptly confirmed in writing) to the Borrower and to the Lenders as soon as practicable thereafter. </w:t>
      </w:r>
    </w:p>
    <w:p>
      <w:pPr>
        <w:pStyle w:val="TextBody"/>
        <w:bidi w:val="0"/>
        <w:spacing w:before="0" w:after="0"/>
        <w:jc w:val="both"/>
        <w:rPr/>
      </w:pPr>
      <w:r>
        <w:rPr/>
      </w:r>
    </w:p>
    <w:p>
      <w:pPr>
        <w:pStyle w:val="TextBody"/>
        <w:bidi w:val="0"/>
        <w:spacing w:lineRule="auto" w:line="288" w:before="0" w:after="220"/>
        <w:jc w:val="both"/>
        <w:rPr/>
      </w:pPr>
      <w:r>
        <w:rPr>
          <w:rFonts w:ascii="Times New Roman;serif" w:hAnsi="Times New Roman;serif"/>
          <w:b w:val="false"/>
          <w:color w:val="000000"/>
          <w:sz w:val="22"/>
        </w:rPr>
        <w:t xml:space="preserve">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paragraphs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below,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of the definition of “Base Rate” until the Administrative Agent revokes such determination.</w:t>
      </w:r>
    </w:p>
    <w:p>
      <w:pPr>
        <w:pStyle w:val="TextBody"/>
        <w:bidi w:val="0"/>
        <w:spacing w:lineRule="auto" w:line="240" w:before="0" w:after="240"/>
        <w:ind w:left="0" w:right="0" w:firstLine="1440"/>
        <w:jc w:val="both"/>
        <w:rPr/>
      </w:pPr>
      <w:bookmarkStart w:id="132" w:name="ia87560ed3cf248529a66ac1ded264149"/>
      <w:bookmarkEnd w:id="132"/>
      <w:r>
        <w:rPr>
          <w:rFonts w:ascii="Times New Roman;serif" w:hAnsi="Times New Roman;serif"/>
          <w:b w:val="false"/>
          <w:color w:val="000000"/>
          <w:sz w:val="22"/>
        </w:rPr>
        <w:t>(b)</w:t>
      </w:r>
      <w:r>
        <w:rPr>
          <w:rFonts w:ascii="Times New Roman;serif" w:hAnsi="Times New Roman;serif"/>
          <w:b w:val="false"/>
          <w:color w:val="000000"/>
          <w:sz w:val="22"/>
          <w:u w:val="single"/>
        </w:rPr>
        <w:t>Benchmark Replacement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33" w:name="icf3023e0aec24011bd812975a3e01e8f"/>
      <w:bookmarkEnd w:id="133"/>
      <w:r>
        <w:rPr>
          <w:rFonts w:ascii="Times New Roman;serif" w:hAnsi="Times New Roman;serif"/>
          <w:b w:val="false"/>
          <w:color w:val="000000"/>
          <w:sz w:val="22"/>
        </w:rPr>
        <w:t>(i)Notwithstanding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pStyle w:val="TextBody"/>
        <w:bidi w:val="0"/>
        <w:spacing w:lineRule="auto" w:line="240" w:before="0" w:after="240"/>
        <w:ind w:left="0" w:right="0" w:firstLine="1440"/>
        <w:jc w:val="both"/>
        <w:rPr/>
      </w:pPr>
      <w:bookmarkStart w:id="134" w:name="ibf70e01e934d457e9b8c7d48d2186104"/>
      <w:bookmarkEnd w:id="134"/>
      <w:r>
        <w:rPr>
          <w:rFonts w:ascii="Times New Roman;serif" w:hAnsi="Times New Roman;serif"/>
          <w:b w:val="false"/>
          <w:color w:val="000000"/>
          <w:sz w:val="22"/>
        </w:rPr>
        <w:t xml:space="preserve">(ii)No swap agreement shall be deemed to be a “Loan Document” for the purposes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135" w:name="i764abaee8e624df2b0da64260b03d28e"/>
      <w:bookmarkEnd w:id="135"/>
      <w:r>
        <w:rPr>
          <w:rFonts w:ascii="Times New Roman;serif" w:hAnsi="Times New Roman;serif"/>
          <w:b w:val="false"/>
          <w:color w:val="000000"/>
          <w:sz w:val="22"/>
        </w:rPr>
        <w:t>(c)</w:t>
      </w:r>
      <w:r>
        <w:rPr>
          <w:rFonts w:ascii="Times New Roman;serif" w:hAnsi="Times New Roman;serif"/>
          <w:b w:val="false"/>
          <w:color w:val="000000"/>
          <w:sz w:val="22"/>
          <w:u w:val="single"/>
        </w:rPr>
        <w:t>Benchmark Replacement Conforming Changes</w:t>
      </w:r>
      <w:r>
        <w:rPr>
          <w:rFonts w:ascii="Times New Roman;serif" w:hAnsi="Times New Roman;serif"/>
          <w:b w:val="false"/>
          <w:color w:val="000000"/>
          <w:sz w:val="22"/>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036955"/>
                <wp:effectExtent l="0" t="0" r="0" b="0"/>
                <wp:wrapNone/>
                <wp:docPr id="196" name="Frame19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40" w:before="0" w:after="240"/>
        <w:ind w:left="0" w:right="0" w:firstLine="1440"/>
        <w:jc w:val="both"/>
        <w:rPr/>
      </w:pPr>
      <w:bookmarkStart w:id="136" w:name="i8c26006b3b764cbc848fcc06f5999358"/>
      <w:bookmarkEnd w:id="136"/>
      <w:r>
        <w:rPr>
          <w:rFonts w:ascii="Times New Roman;serif" w:hAnsi="Times New Roman;serif"/>
          <w:b w:val="false"/>
          <w:color w:val="000000"/>
          <w:sz w:val="22"/>
        </w:rPr>
        <w:t>(d)</w:t>
      </w:r>
      <w:r>
        <w:rPr>
          <w:rFonts w:ascii="Times New Roman;serif" w:hAnsi="Times New Roman;serif"/>
          <w:b w:val="false"/>
          <w:color w:val="000000"/>
          <w:sz w:val="22"/>
          <w:u w:val="single"/>
        </w:rPr>
        <w:t>Notices; Standards for Decisions and Determinations</w:t>
      </w:r>
      <w:r>
        <w:rPr>
          <w:rFonts w:ascii="Times New Roman;serif" w:hAnsi="Times New Roman;serif"/>
          <w:b w:val="false"/>
          <w:color w:val="000000"/>
          <w:sz w:val="22"/>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serif" w:hAnsi="Times New Roman;serif"/>
          <w:b w:val="false"/>
          <w:color w:val="000000"/>
          <w:sz w:val="22"/>
          <w:u w:val="single"/>
        </w:rPr>
        <w:t>Section 2.16(e)</w:t>
      </w:r>
      <w:r>
        <w:rPr>
          <w:color w:val="000000"/>
        </w:rPr>
        <w:t xml:space="preserve"> </w:t>
      </w:r>
      <w:r>
        <w:rPr>
          <w:rFonts w:ascii="Times New Roman;serif" w:hAnsi="Times New Roman;serif"/>
          <w:b w:val="false"/>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37" w:name="ic807571bb81e4767a87aeb49035503ae"/>
      <w:bookmarkEnd w:id="137"/>
      <w:r>
        <w:rPr>
          <w:rFonts w:ascii="Times New Roman;serif" w:hAnsi="Times New Roman;serif"/>
          <w:b w:val="false"/>
          <w:color w:val="000000"/>
          <w:sz w:val="22"/>
        </w:rPr>
        <w:t>(e)</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40" w:before="0" w:after="240"/>
        <w:ind w:left="0" w:right="0" w:firstLine="1440"/>
        <w:jc w:val="both"/>
        <w:rPr/>
      </w:pPr>
      <w:bookmarkStart w:id="138" w:name="ibb4ff04f936d46438165999cc3d0f79e"/>
      <w:bookmarkEnd w:id="138"/>
      <w:r>
        <w:rPr>
          <w:rFonts w:ascii="Times New Roman;serif" w:hAnsi="Times New Roman;serif"/>
          <w:b w:val="false"/>
          <w:color w:val="000000"/>
          <w:sz w:val="22"/>
        </w:rPr>
        <w:t>(f)</w:t>
      </w: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40"/>
        <w:ind w:left="0" w:right="0" w:firstLine="720"/>
        <w:jc w:val="both"/>
        <w:rPr/>
      </w:pPr>
      <w:bookmarkStart w:id="139" w:name="ia9f247dddf2947c08c237c93629d084d"/>
      <w:bookmarkEnd w:id="139"/>
      <w:r>
        <w:rPr>
          <w:rFonts w:ascii="Times New Roman;serif" w:hAnsi="Times New Roman;serif"/>
          <w:b/>
          <w:color w:val="000000"/>
          <w:sz w:val="22"/>
        </w:rPr>
        <w:t>Section 2.17</w:t>
      </w:r>
      <w:r>
        <w:rPr>
          <w:rFonts w:ascii="Times New Roman;serif" w:hAnsi="Times New Roman;serif"/>
          <w:b/>
          <w:color w:val="000000"/>
          <w:sz w:val="22"/>
          <w:u w:val="single"/>
        </w:rPr>
        <w:t>Illegality</w:t>
      </w:r>
      <w:r>
        <w:rPr>
          <w:rFonts w:ascii="Times New Roman;serif" w:hAnsi="Times New Roman;serif"/>
          <w:b w:val="false"/>
          <w:color w:val="000000"/>
          <w:sz w:val="22"/>
        </w:rPr>
        <w:t xml:space="preserve">. If any Change in Law shall make it unlawful or impossible for any Lender to perform any of its obligations hereunder, to make, maintain or fund any SOFR Loan or to or to determine or charge interest rates based upon SOFR, the Term SOFR Reference Rate or Term SOFR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(i) the obligation of such Lender to make SOFR Revolving Loans, or to continue or convert outstanding Loans as or into SOFR Loans, shall be suspended and (ii) the Base Rate shall, if necessary to avoid such illegality, be determined by the Administrative Agent without reference to clause (iii) thereof. In the case of the making of a SOFR Borrowing, such Lender’s Revolving Loan shall be made as a Base Rate Loan as part of the same Revolving Borrowing for the same Interest Period and, if the affected SOFR Loan is then outstanding, such Loan shall be converted to a Base Rate Loan either (i) on the last day of the then current Interest Period applicable to such SOFR Loan if such Lender may lawfully continue to maintain such Loan to such date or (ii) immediately if such Lender shall determine that it may not lawfully continue to maintain such SOFR Loan to such date (and in each instance the Base Rate shall, if necessary to avoid such illegality, bet determined by the Administrative Agent without reference to clause (iii) thereof).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036955"/>
                <wp:effectExtent l="0" t="0" r="0" b="0"/>
                <wp:wrapNone/>
                <wp:docPr id="197" name="Frame19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bookmarkStart w:id="140" w:name="ie0722942e441464ca37406ae177d3a31"/>
      <w:bookmarkEnd w:id="140"/>
      <w:r>
        <w:rPr>
          <w:rFonts w:ascii="Times New Roman;serif" w:hAnsi="Times New Roman;serif"/>
          <w:b/>
          <w:color w:val="000000"/>
          <w:sz w:val="22"/>
        </w:rPr>
        <w:t>Section 2.18</w:t>
      </w:r>
      <w:r>
        <w:rPr>
          <w:rFonts w:ascii="Times New Roman;serif" w:hAnsi="Times New Roman;serif"/>
          <w:b/>
          <w:color w:val="000000"/>
          <w:sz w:val="22"/>
          <w:u w:val="single"/>
        </w:rPr>
        <w:t>Increased Costs.</w:t>
      </w:r>
    </w:p>
    <w:p>
      <w:pPr>
        <w:pStyle w:val="TextBody"/>
        <w:bidi w:val="0"/>
        <w:spacing w:lineRule="auto" w:line="240" w:before="0" w:after="240"/>
        <w:ind w:left="0" w:right="0" w:firstLine="1440"/>
        <w:jc w:val="both"/>
        <w:rPr/>
      </w:pPr>
      <w:bookmarkStart w:id="141" w:name="iadd389c14d194af98ce7983bd6c9eff9"/>
      <w:bookmarkEnd w:id="141"/>
      <w:r>
        <w:rPr>
          <w:rFonts w:ascii="Times New Roman;serif" w:hAnsi="Times New Roman;serif"/>
          <w:b w:val="false"/>
          <w:color w:val="000000"/>
          <w:sz w:val="22"/>
        </w:rPr>
        <w:t>(a)</w:t>
      </w:r>
      <w:r>
        <w:rPr>
          <w:rFonts w:ascii="Times New Roman;serif" w:hAnsi="Times New Roman;serif"/>
          <w:b w:val="false"/>
          <w:color w:val="000000"/>
          <w:sz w:val="22"/>
        </w:rPr>
        <w:t>If any Change in Law shall:</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2" w:name="ibe358c5ba839406793f135c1f3b3a950"/>
      <w:bookmarkEnd w:id="142"/>
      <w:r>
        <w:rPr>
          <w:rFonts w:ascii="Times New Roman;serif" w:hAnsi="Times New Roman;serif"/>
          <w:b w:val="false"/>
          <w:color w:val="000000"/>
          <w:sz w:val="22"/>
        </w:rPr>
        <w:t xml:space="preserve">(i)impose,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any Issuing Bank; </w:t>
      </w:r>
    </w:p>
    <w:p>
      <w:pPr>
        <w:pStyle w:val="TextBody"/>
        <w:bidi w:val="0"/>
        <w:spacing w:lineRule="auto" w:line="240" w:before="0" w:after="240"/>
        <w:ind w:left="0" w:right="0" w:firstLine="1440"/>
        <w:jc w:val="both"/>
        <w:rPr/>
      </w:pPr>
      <w:bookmarkStart w:id="143" w:name="i4302d915941a4b11a3c4538d6e7b8c13"/>
      <w:bookmarkEnd w:id="143"/>
      <w:r>
        <w:rPr>
          <w:rFonts w:ascii="Times New Roman;serif" w:hAnsi="Times New Roman;serif"/>
          <w:b w:val="false"/>
          <w:color w:val="000000"/>
          <w:sz w:val="22"/>
        </w:rPr>
        <w:t xml:space="preserve">(ii)subject any Recipient to any Taxes (other than (A) Indemnified Taxes, (B) Taxes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and (C) Connection Income Taxes);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4" w:name="if68ccad9a63348538f59dc2c5ad57c3b"/>
      <w:bookmarkEnd w:id="144"/>
      <w:r>
        <w:rPr>
          <w:rFonts w:ascii="Times New Roman;serif" w:hAnsi="Times New Roman;serif"/>
          <w:b w:val="false"/>
          <w:color w:val="000000"/>
          <w:sz w:val="22"/>
        </w:rPr>
        <w:t>(iii)impose on any Lender or any Issuing Bank any other condition, cost or expense (other than Taxes) affecting this Agreement or any Loans made by such Lender or any Letter of Credit or participation in any such Loan or Letter of Credit;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is to increase the cost to such Lender of making, converting into, continuing or maintaining a SOFR Loan or to increase the cost to such Lender or such Issuing Bank of participating in or issuing any Letter of Credit or to reduce the amount received or receivable by such Lender or such Issuing Bank hereunder (whether of principal, interest or any other amount),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then, from time to time, such Lender or such Issuing Bank may provide the Borrower (with a copy thereof to the Administrative Agent) with written notice and demand (including the calculation of all applicable amounts) with respect to such increased costs or reduced amounts, and within five (5) Business Days after receipt of the certificate required under subsection (c) below, the Borrower shall pay to such Lender or such Issuing Bank, as the case may be, such additional amounts as will compensate such Lender or such Issuing Bank for any such increased costs incurred or reduction suffered.</w:t>
      </w:r>
    </w:p>
    <w:p>
      <w:pPr>
        <w:pStyle w:val="TextBody"/>
        <w:bidi w:val="0"/>
        <w:spacing w:lineRule="auto" w:line="240" w:before="0" w:after="240"/>
        <w:ind w:left="0" w:right="0" w:firstLine="1440"/>
        <w:jc w:val="both"/>
        <w:rPr/>
      </w:pPr>
      <w:bookmarkStart w:id="145" w:name="i16cbb10a0c2747c2bb49a5be61347fb3"/>
      <w:bookmarkEnd w:id="145"/>
      <w:r>
        <w:rPr>
          <w:rFonts w:ascii="Times New Roman;serif" w:hAnsi="Times New Roman;serif"/>
          <w:b w:val="false"/>
          <w:color w:val="000000"/>
          <w:sz w:val="22"/>
        </w:rPr>
        <w:t>(b)</w:t>
      </w:r>
      <w:r>
        <w:rPr>
          <w:rFonts w:ascii="Times New Roman;serif" w:hAnsi="Times New Roman;serif"/>
          <w:b w:val="false"/>
          <w:color w:val="000000"/>
          <w:sz w:val="22"/>
        </w:rPr>
        <w:t>If any Lender or any Issuing Bank shall have determined that on or after the Closing Date any Change in Law regarding capital or liquidity ratios or requirements has or would have the effect of reducing the rate of return on such Lender’s or such Issuing Bank’s capital (or on the capital of the Parent Company of such Lender or such Issuing Bank) as a consequence of its obligations hereunder or under or in respect of any Letter of Credit to a level below that which such Lender, such Issuing Bank or such Parent Company could have achieved but for such Change in Law (taking into consideration such Lender’s or such Issuing Bank’s policies or the policies of such Parent Company with respect to capital adequacy and liquidity), then, from time to time, such Lender or such Issuing Bank may provide the Borrower (with a copy thereof to the Administrative Agent) with written notice and demand (including the calculation of all applicable amounts) with respect to such reduced amounts, and within five (5) Business Days after receipt of such the certificate required under subsection (c) below, the Borrower shall pay to such Lender or such Issuing Bank, as the case may be, such additional amounts as will compensate such Lender, such Issuing Bank or such Parent Company for any such reduction suffered.</w:t>
      </w:r>
    </w:p>
    <w:p>
      <w:pPr>
        <w:pStyle w:val="TextBody"/>
        <w:bidi w:val="0"/>
        <w:spacing w:lineRule="auto" w:line="240" w:before="0" w:after="240"/>
        <w:ind w:left="0" w:right="0" w:firstLine="1440"/>
        <w:jc w:val="both"/>
        <w:rPr/>
      </w:pPr>
      <w:bookmarkStart w:id="146" w:name="i4d9894355ba5460f94a6a5af57165f99"/>
      <w:bookmarkEnd w:id="146"/>
      <w:r>
        <w:rPr>
          <w:rFonts w:ascii="Times New Roman;serif" w:hAnsi="Times New Roman;serif"/>
          <w:b w:val="false"/>
          <w:color w:val="000000"/>
          <w:sz w:val="22"/>
        </w:rPr>
        <w:t>(c)</w:t>
      </w:r>
      <w:r>
        <w:rPr>
          <w:rFonts w:ascii="Times New Roman;serif" w:hAnsi="Times New Roman;serif"/>
          <w:b w:val="false"/>
          <w:color w:val="000000"/>
          <w:sz w:val="22"/>
        </w:rPr>
        <w:t>A certificate of such Lender or such Issuing Bank setting forth in reasonable detail (x) the amount or amounts necessary to compensate such Lender, such Issuing Bank or the Parent Company of such Lender or such Issuing Bank and (y) a reasonably detailed explanation of the applicable Change in Law, as the case may be, specified in subsection (a) or (b) of this Section shall be delivered to the Borrower (with a copy to the Administrative Agent) and 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036955"/>
                <wp:effectExtent l="0" t="0" r="0" b="0"/>
                <wp:wrapNone/>
                <wp:docPr id="198" name="Frame19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40" w:before="0" w:after="240"/>
        <w:ind w:left="0" w:right="0" w:firstLine="1440"/>
        <w:jc w:val="both"/>
        <w:rPr/>
      </w:pPr>
      <w:bookmarkStart w:id="147" w:name="i85b3ba1a82114837a239811901da0ac4"/>
      <w:bookmarkEnd w:id="147"/>
      <w:r>
        <w:rPr>
          <w:rFonts w:ascii="Times New Roman;serif" w:hAnsi="Times New Roman;serif"/>
          <w:b w:val="false"/>
          <w:color w:val="000000"/>
          <w:sz w:val="22"/>
        </w:rPr>
        <w:t>(d)</w:t>
      </w:r>
      <w:r>
        <w:rPr>
          <w:rFonts w:ascii="Times New Roman;serif" w:hAnsi="Times New Roman;serif"/>
          <w:b w:val="false"/>
          <w:color w:val="000000"/>
          <w:sz w:val="22"/>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or Issuing Bank pursuant to this Section for any increased costs incurred or reductions suffered more than nine months prior to the date that such Lender or Issuing Bank notifies the Borrower of the Change in Law giving rise to such increased costs or reductions and of such Lender’s or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0" w:after="0"/>
        <w:ind w:left="0" w:right="0" w:firstLine="720"/>
        <w:jc w:val="both"/>
        <w:rPr/>
      </w:pPr>
      <w:bookmarkStart w:id="148" w:name="ief24aa5843d840029dd7e5014afb83c0"/>
      <w:bookmarkEnd w:id="148"/>
      <w:r>
        <w:rPr>
          <w:rFonts w:ascii="Times New Roman;serif" w:hAnsi="Times New Roman;serif"/>
          <w:b/>
          <w:color w:val="000000"/>
          <w:sz w:val="22"/>
        </w:rPr>
        <w:t>Section 2.19</w:t>
      </w:r>
      <w:r>
        <w:rPr>
          <w:rFonts w:ascii="Times New Roman;serif" w:hAnsi="Times New Roman;serif"/>
          <w:b/>
          <w:color w:val="000000"/>
          <w:sz w:val="22"/>
          <w:u w:val="single"/>
        </w:rPr>
        <w:t>Funding Indemnity</w:t>
      </w:r>
      <w:r>
        <w:rPr>
          <w:rFonts w:ascii="Times New Roman;serif" w:hAnsi="Times New Roman;serif"/>
          <w:b w:val="false"/>
          <w:color w:val="000000"/>
          <w:sz w:val="22"/>
        </w:rPr>
        <w:t>. In the event of (a) the payment of any principal of a SOFR Loan other than on the last day of the Interest Period applicable thereto (including as a result of an Event of Default), (b) the conversion or continuation of a SOFR Loan other than on the last day of the Interest Period applicable thereto, or (c) the failure by the Borrower to borrow, prepay, convert or continue any SOFR Loan on the date specified in any applicable notice (regardless of whether such notice is withdrawn or revoked), then, in any such event, the Borrower shall compensate each Lender, within five (5) Business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Term SOFR applicable to such SOFR Loan for the period from the date of such event to the last day of the then current Interest Period therefor (or, in the case of a failure to borrow, convert or continue, for the period that would have been the Interest Period for such SOFR Loan) over (B) the amount of interest that would accrue on the principal amount of such SOFR Loan for the same period if Term SOFR were set on the date such SOFR Loan was prepaid or converted or the date on which the Borrower failed to borrow, convert or continue such SOFR Loan. A certificate as to any additional amount payable under this Section submitted to the Borrower by any Lender (with a copy to the Administrative Agent) shall be conclusive, absent manifest error.</w:t>
      </w:r>
    </w:p>
    <w:p>
      <w:pPr>
        <w:pStyle w:val="TextBody"/>
        <w:bidi w:val="0"/>
        <w:spacing w:lineRule="auto" w:line="240" w:before="0" w:after="240"/>
        <w:ind w:left="0" w:right="0" w:firstLine="720"/>
        <w:jc w:val="both"/>
        <w:rPr/>
      </w:pPr>
      <w:bookmarkStart w:id="149" w:name="i6c1c22bd9d354293a844c039153c8752"/>
      <w:bookmarkEnd w:id="149"/>
      <w:r>
        <w:rPr>
          <w:rFonts w:ascii="Times New Roman;serif" w:hAnsi="Times New Roman;serif"/>
          <w:b/>
          <w:color w:val="000000"/>
          <w:sz w:val="22"/>
        </w:rPr>
        <w:t>Section 2.20</w:t>
      </w:r>
      <w:r>
        <w:rPr>
          <w:rFonts w:ascii="Times New Roman;serif" w:hAnsi="Times New Roman;serif"/>
          <w:b/>
          <w:color w:val="000000"/>
          <w:sz w:val="22"/>
          <w:u w:val="single"/>
        </w:rPr>
        <w:t>Taxes.</w:t>
      </w:r>
    </w:p>
    <w:p>
      <w:pPr>
        <w:pStyle w:val="TextBody"/>
        <w:bidi w:val="0"/>
        <w:spacing w:lineRule="auto" w:line="240" w:before="0" w:after="240"/>
        <w:ind w:left="0" w:right="0" w:firstLine="1440"/>
        <w:jc w:val="both"/>
        <w:rPr/>
      </w:pPr>
      <w:bookmarkStart w:id="150" w:name="i2f1b8656cd8b419c80133643761fb8cc"/>
      <w:bookmarkEnd w:id="150"/>
      <w:r>
        <w:rPr>
          <w:rFonts w:ascii="Times New Roman;serif" w:hAnsi="Times New Roman;serif"/>
          <w:b w:val="false"/>
          <w:color w:val="000000"/>
          <w:sz w:val="22"/>
        </w:rPr>
        <w:t>(a)</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the term “Lender” includes any Issuing Bank and the term “applicable law” includes FATCA.</w:t>
      </w:r>
    </w:p>
    <w:p>
      <w:pPr>
        <w:pStyle w:val="TextBody"/>
        <w:bidi w:val="0"/>
        <w:spacing w:lineRule="auto" w:line="240" w:before="0" w:after="240"/>
        <w:ind w:left="0" w:right="0" w:firstLine="1440"/>
        <w:jc w:val="both"/>
        <w:rPr/>
      </w:pPr>
      <w:bookmarkStart w:id="151" w:name="i8778f03e7cb84ca29604170e0611a202"/>
      <w:bookmarkEnd w:id="151"/>
      <w:r>
        <w:rPr>
          <w:rFonts w:ascii="Times New Roman;serif" w:hAnsi="Times New Roman;serif"/>
          <w:b w:val="false"/>
          <w:color w:val="000000"/>
          <w:sz w:val="22"/>
        </w:rPr>
        <w:t>(b)</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the applicable Recipient receives an amount equal to the sum it would have received had no such deduction or withholding been made.</w:t>
      </w:r>
    </w:p>
    <w:p>
      <w:pPr>
        <w:pStyle w:val="TextBody"/>
        <w:bidi w:val="0"/>
        <w:spacing w:lineRule="auto" w:line="240" w:before="0" w:after="240"/>
        <w:ind w:left="0" w:right="0" w:firstLine="1440"/>
        <w:jc w:val="both"/>
        <w:rPr/>
      </w:pPr>
      <w:bookmarkStart w:id="152" w:name="i0d4a242b75a84342af1b0ed0cf00d30d"/>
      <w:bookmarkEnd w:id="152"/>
      <w:r>
        <w:rPr>
          <w:rFonts w:ascii="Times New Roman;serif" w:hAnsi="Times New Roman;serif"/>
          <w:b w:val="false"/>
          <w:color w:val="000000"/>
          <w:sz w:val="22"/>
        </w:rPr>
        <w:t>(c)</w:t>
      </w:r>
      <w:r>
        <w:rPr>
          <w:rFonts w:ascii="Times New Roman;serif" w:hAnsi="Times New Roman;serif"/>
          <w:b w:val="false"/>
          <w:color w:val="000000"/>
          <w:sz w:val="22"/>
          <w:u w:val="single"/>
        </w:rPr>
        <w:t>Payment of Other Taxes by the Borrower</w:t>
      </w:r>
      <w:r>
        <w:rPr>
          <w:rFonts w:ascii="Times New Roman;serif" w:hAnsi="Times New Roman;serif"/>
          <w:b w:val="false"/>
          <w:color w:val="000000"/>
          <w:sz w:val="22"/>
        </w:rPr>
        <w:t>. The Borrower shall timely pay to the relevant Governmental Authority in accordance with applicable law, or at the option of the Administrative Agent timely reimburse it for the payment of, any Other Taxes.</w:t>
      </w:r>
    </w:p>
    <w:p>
      <w:pPr>
        <w:pStyle w:val="TextBody"/>
        <w:bidi w:val="0"/>
        <w:spacing w:lineRule="auto" w:line="240" w:before="0" w:after="240"/>
        <w:ind w:left="0" w:right="0" w:firstLine="1440"/>
        <w:jc w:val="both"/>
        <w:rPr/>
      </w:pPr>
      <w:bookmarkStart w:id="153" w:name="i0ce4f9afe1434149a0880bf033c478b5"/>
      <w:bookmarkEnd w:id="153"/>
      <w:r>
        <w:rPr>
          <w:rFonts w:ascii="Times New Roman;serif" w:hAnsi="Times New Roman;serif"/>
          <w:b w:val="false"/>
          <w:color w:val="000000"/>
          <w:sz w:val="22"/>
        </w:rPr>
        <w:t>(d)</w:t>
      </w:r>
      <w:r>
        <w:rPr>
          <w:rFonts w:ascii="Times New Roman;serif" w:hAnsi="Times New Roman;serif"/>
          <w:b w:val="false"/>
          <w:color w:val="000000"/>
          <w:sz w:val="22"/>
          <w:u w:val="single"/>
        </w:rPr>
        <w:t>Indemnification by the Borrower</w:t>
      </w:r>
      <w:r>
        <w:rPr>
          <w:rFonts w:ascii="Times New Roman;serif" w:hAnsi="Times New Roman;serif"/>
          <w:b w:val="false"/>
          <w:color w:val="000000"/>
          <w:sz w:val="22"/>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036955"/>
                <wp:effectExtent l="0" t="0" r="0" b="0"/>
                <wp:wrapNone/>
                <wp:docPr id="199" name="Frame19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40" w:before="0" w:after="240"/>
        <w:ind w:left="0" w:right="0" w:firstLine="1440"/>
        <w:jc w:val="both"/>
        <w:rPr/>
      </w:pPr>
      <w:bookmarkStart w:id="154" w:name="i2e0972cf78fc464baf74e388970dfadb"/>
      <w:bookmarkEnd w:id="154"/>
      <w:r>
        <w:rPr>
          <w:rFonts w:ascii="Times New Roman;serif" w:hAnsi="Times New Roman;serif"/>
          <w:b w:val="false"/>
          <w:color w:val="000000"/>
          <w:sz w:val="22"/>
        </w:rPr>
        <w:t>(e)</w:t>
      </w:r>
      <w:r>
        <w:rPr>
          <w:rFonts w:ascii="Times New Roman;serif" w:hAnsi="Times New Roman;serif"/>
          <w:b w:val="false"/>
          <w:color w:val="000000"/>
          <w:sz w:val="22"/>
          <w:u w:val="single"/>
        </w:rPr>
        <w:t>Indemnification by the Lenders</w:t>
      </w:r>
      <w:r>
        <w:rPr>
          <w:rFonts w:ascii="Times New Roman;serif" w:hAnsi="Times New Roman;serif"/>
          <w:b w:val="false"/>
          <w:color w:val="000000"/>
          <w:sz w:val="22"/>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serif" w:hAnsi="Times New Roman;serif"/>
          <w:b w:val="false"/>
          <w:color w:val="000000"/>
          <w:sz w:val="22"/>
          <w:u w:val="single"/>
        </w:rPr>
        <w:t>Section 10.4(d)</w:t>
      </w:r>
      <w:r>
        <w:rPr>
          <w:color w:val="000000"/>
        </w:rPr>
        <w:t xml:space="preserve"> </w:t>
      </w:r>
      <w:r>
        <w:rPr>
          <w:rFonts w:ascii="Times New Roman;serif" w:hAnsi="Times New Roman;serif"/>
          <w:b w:val="false"/>
          <w:color w:val="000000"/>
          <w:sz w:val="22"/>
        </w:rPr>
        <w:t>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lineRule="auto" w:line="240" w:before="0" w:after="240"/>
        <w:ind w:left="0" w:right="0" w:firstLine="1440"/>
        <w:jc w:val="both"/>
        <w:rPr/>
      </w:pPr>
      <w:bookmarkStart w:id="155" w:name="ib8205f23455d48a888e9e046380c9e52"/>
      <w:bookmarkEnd w:id="155"/>
      <w:r>
        <w:rPr>
          <w:rFonts w:ascii="Times New Roman;serif" w:hAnsi="Times New Roman;serif"/>
          <w:b w:val="false"/>
          <w:color w:val="000000"/>
          <w:sz w:val="22"/>
        </w:rPr>
        <w:t>(f)</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the Borrower or any other Loan Party to a Governmental Authority pursuant to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the Borrower or the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1440"/>
        <w:jc w:val="both"/>
        <w:rPr/>
      </w:pPr>
      <w:bookmarkStart w:id="156" w:name="i2a124bbfba47441a9b3b906914982460"/>
      <w:bookmarkEnd w:id="156"/>
      <w:r>
        <w:rPr>
          <w:rFonts w:ascii="Times New Roman;serif" w:hAnsi="Times New Roman;serif"/>
          <w:b w:val="false"/>
          <w:color w:val="000000"/>
          <w:sz w:val="22"/>
        </w:rPr>
        <w:t>(g)</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57" w:name="if0654f7972bd4561a2fa9d7ed83d2bd0"/>
      <w:bookmarkEnd w:id="157"/>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2.20(g)(ii)(A)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58" w:name="ia908a929a1ed4e0080b443e7d94707b7"/>
      <w:bookmarkEnd w:id="158"/>
      <w:r>
        <w:rPr>
          <w:rFonts w:ascii="Times New Roman;serif" w:hAnsi="Times New Roman;serif"/>
          <w:b w:val="false"/>
          <w:color w:val="000000"/>
          <w:sz w:val="22"/>
        </w:rPr>
        <w:t>(ii)Without limiting the generality of the foregoing,</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159" w:name="ic7b44d1054ee4b15952834fe9bb564d5"/>
      <w:bookmarkEnd w:id="159"/>
      <w:r>
        <w:rPr>
          <w:rFonts w:ascii="Times New Roman;serif" w:hAnsi="Times New Roman;serif"/>
          <w:b w:val="false"/>
          <w:color w:val="000000"/>
          <w:sz w:val="22"/>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160" w:name="i3618b0868dc148ccaff9df6743671470"/>
      <w:bookmarkEnd w:id="160"/>
      <w:r>
        <w:rPr>
          <w:rFonts w:ascii="Times New Roman;serif" w:hAnsi="Times New Roman;serif"/>
          <w:b w:val="false"/>
          <w:color w:val="000000"/>
          <w:sz w:val="22"/>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161" w:name="i6e7eb7f1a9cf4fc4986b105aa5de27d8"/>
      <w:bookmarkEnd w:id="161"/>
      <w:r>
        <w:rPr>
          <w:rFonts w:ascii="Times New Roman;serif" w:hAnsi="Times New Roman;serif"/>
          <w:b w:val="false"/>
          <w:color w:val="000000"/>
          <w:sz w:val="22"/>
        </w:rPr>
        <w:t xml:space="preserve">(i)in the case of a Foreign Lender claiming the benefits of an income tax treaty to which the United States is a party (x)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036955"/>
                <wp:effectExtent l="0" t="0" r="0" b="0"/>
                <wp:wrapNone/>
                <wp:docPr id="200" name="Frame19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payments of interest under any Loan Document, an executed copy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162" w:name="ib9a3012c6a96434b9d42301497e17ecb"/>
      <w:bookmarkEnd w:id="162"/>
      <w:r>
        <w:rPr>
          <w:rFonts w:ascii="Times New Roman;serif" w:hAnsi="Times New Roman;serif"/>
          <w:b w:val="false"/>
          <w:color w:val="000000"/>
          <w:sz w:val="22"/>
        </w:rPr>
        <w:t>(ii)an executed copy of IRS Form W-8ECI;</w:t>
      </w:r>
    </w:p>
    <w:p>
      <w:pPr>
        <w:pStyle w:val="TextBody"/>
        <w:bidi w:val="0"/>
        <w:spacing w:lineRule="auto" w:line="240" w:before="0" w:after="240"/>
        <w:ind w:left="0" w:right="0" w:firstLine="720"/>
        <w:jc w:val="both"/>
        <w:rPr/>
      </w:pPr>
      <w:bookmarkStart w:id="163" w:name="i19cc304f003646a897c932937a9692bc"/>
      <w:bookmarkEnd w:id="163"/>
      <w:r>
        <w:rPr>
          <w:rFonts w:ascii="Times New Roman;serif" w:hAnsi="Times New Roman;serif"/>
          <w:b w:val="false"/>
          <w:color w:val="000000"/>
          <w:sz w:val="22"/>
        </w:rPr>
        <w:t xml:space="preserve">(iii)in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2.20A</w:t>
      </w:r>
      <w:r>
        <w:rPr>
          <w:color w:val="000000"/>
        </w:rPr>
        <w:t xml:space="preserve"> </w:t>
      </w:r>
      <w:r>
        <w:rPr>
          <w:rFonts w:ascii="Times New Roman;serif" w:hAnsi="Times New Roman;serif"/>
          <w:b w:val="false"/>
          <w:color w:val="000000"/>
          <w:sz w:val="22"/>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serif" w:hAnsi="Times New Roman;serif"/>
          <w:b w:val="false"/>
          <w:color w:val="000000"/>
          <w:sz w:val="22"/>
          <w:u w:val="single"/>
        </w:rPr>
        <w:t>U.S. Tax Compliance Certificate”</w:t>
      </w:r>
      <w:r>
        <w:rPr>
          <w:rFonts w:ascii="Times New Roman;serif" w:hAnsi="Times New Roman;serif"/>
          <w:b w:val="false"/>
          <w:color w:val="000000"/>
          <w:sz w:val="22"/>
        </w:rPr>
        <w:t>) and (y) an executed copy of IRS Form W-8BEN or IRS Form W-8BEN-E; or</w:t>
      </w:r>
    </w:p>
    <w:p>
      <w:pPr>
        <w:pStyle w:val="TextBody"/>
        <w:bidi w:val="0"/>
        <w:spacing w:lineRule="auto" w:line="240" w:before="0" w:after="240"/>
        <w:ind w:left="0" w:right="0" w:firstLine="720"/>
        <w:jc w:val="both"/>
        <w:rPr/>
      </w:pPr>
      <w:bookmarkStart w:id="164" w:name="i7ad9bad7ad6f46bd944c0ced33322034"/>
      <w:bookmarkEnd w:id="164"/>
      <w:r>
        <w:rPr>
          <w:rFonts w:ascii="Times New Roman;serif" w:hAnsi="Times New Roman;serif"/>
          <w:b w:val="false"/>
          <w:color w:val="000000"/>
          <w:sz w:val="22"/>
        </w:rPr>
        <w:t xml:space="preserve">(iv)to the extent a Foreign Lender is not the beneficial owner, an executed copy of IRS Form W-8IMY, accompanied by IRS Form W-8ECI, IRS Form W-8BEN or IRS Form W-8BEN-E, a U.S. Tax Compliance Certificate substantially in the form of </w:t>
      </w:r>
      <w:r>
        <w:rPr>
          <w:rFonts w:ascii="Times New Roman;serif" w:hAnsi="Times New Roman;serif"/>
          <w:b w:val="false"/>
          <w:color w:val="000000"/>
          <w:sz w:val="22"/>
          <w:u w:val="single"/>
        </w:rPr>
        <w:t>Exhibit 2.20B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2.20C</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2.20D</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165" w:name="ia531247bfed94d588114fc1d2f00af24"/>
      <w:bookmarkEnd w:id="165"/>
      <w:r>
        <w:rPr>
          <w:rFonts w:ascii="Times New Roman;serif" w:hAnsi="Times New Roman;serif"/>
          <w:b w:val="false"/>
          <w:color w:val="000000"/>
          <w:sz w:val="22"/>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166" w:name="i7888aec2d3584a688e92063caeebf8a2"/>
      <w:bookmarkEnd w:id="166"/>
      <w:r>
        <w:rPr>
          <w:rFonts w:ascii="Times New Roman;serif" w:hAnsi="Times New Roman;serif"/>
          <w:b w:val="false"/>
          <w:color w:val="000000"/>
          <w:sz w:val="22"/>
        </w:rPr>
        <w:t xml:space="preserve">(D)if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036955"/>
                <wp:effectExtent l="0" t="0" r="0" b="0"/>
                <wp:wrapNone/>
                <wp:docPr id="201" name="Frame19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payment. Solely for purposes of this clause (D), “FATCA” shall include any amendments made to FATCA after the Closing Date.</w:t>
      </w:r>
    </w:p>
    <w:p>
      <w:pPr>
        <w:pStyle w:val="TextBody"/>
        <w:bidi w:val="0"/>
        <w:spacing w:lineRule="auto" w:line="240" w:before="0" w:after="240"/>
        <w:ind w:left="0" w:right="0" w:firstLine="1440"/>
        <w:jc w:val="both"/>
        <w:rPr/>
      </w:pPr>
      <w:bookmarkStart w:id="167" w:name="i2ffa7e44d47842ed92dd45aa817d0444"/>
      <w:bookmarkEnd w:id="167"/>
      <w:r>
        <w:rPr>
          <w:rFonts w:ascii="Times New Roman;serif" w:hAnsi="Times New Roman;serif"/>
          <w:b w:val="false"/>
          <w:color w:val="000000"/>
          <w:sz w:val="22"/>
        </w:rPr>
        <w:t xml:space="preserve">(iii)On or before the date the Administrative Agent (and any successor Administrative Agent) becomes a party to this Agreement, the Administrative Agent shall deliver to the Borrower whichever of the following is applicable: (a) if the Administrative Agent is a U.S. Person, an executed copy of IRS Form W-9 certifying that such Administrative Agent is exempt from U.S. federal backup withholding and that it is either (I) a U.S. Person and a “financial institution” and that it will comply with its “obligation to withhold,” each within the meaning of Treasury Regulations Section 1.1441-1(b)(2)(ii) or (II) hereby represents that it will otherwise handle U.S. withholding tax compliance with respect to payments to the Lenders (such that the Borrower can make such payments to the Administrative Agent without collecting U.S. withholding tax) or (b) if the Administrative Agent is not a U.S. Person, (I) with respect to payments received for its own account, an executed copy of IRS Form W-8ECI and (II) with respect to payments received on account of any Lender, an executed copy of IRS Form W-8IMY (together with all required accompanying documentation) certifying that the Administrative Agent is a “qualified intermediary” or a “U.S. branch”.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Times New Roman;serif" w:hAnsi="Times New Roman;serif"/>
          <w:b w:val="false"/>
          <w:color w:val="000000"/>
          <w:sz w:val="22"/>
          <w:u w:val="single"/>
        </w:rPr>
        <w:t>Section 2.20(g)(iii)</w:t>
      </w:r>
      <w:r>
        <w:rPr>
          <w:rFonts w:ascii="Times New Roman;serif" w:hAnsi="Times New Roman;serif"/>
          <w:b w:val="false"/>
          <w:color w:val="000000"/>
          <w:sz w:val="22"/>
        </w:rPr>
        <w:t>, the Administrative Agent shall not be required to provide any documentation that the Administrative Agent is not legally entitled to deliver.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0" w:after="240"/>
        <w:ind w:left="0" w:right="0" w:firstLine="1440"/>
        <w:jc w:val="both"/>
        <w:rPr/>
      </w:pPr>
      <w:bookmarkStart w:id="168" w:name="ic8a3f95b925741dc9432a37f02e62482"/>
      <w:bookmarkEnd w:id="168"/>
      <w:r>
        <w:rPr>
          <w:rFonts w:ascii="Times New Roman;serif" w:hAnsi="Times New Roman;serif"/>
          <w:b w:val="false"/>
          <w:color w:val="000000"/>
          <w:sz w:val="22"/>
        </w:rPr>
        <w:t>(h)</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1440"/>
        <w:jc w:val="both"/>
        <w:rPr/>
      </w:pPr>
      <w:bookmarkStart w:id="169" w:name="i924937fac78c4e3a9d884eaa4f42d8e1"/>
      <w:bookmarkEnd w:id="169"/>
      <w:r>
        <w:rPr>
          <w:rFonts w:ascii="Times New Roman;serif" w:hAnsi="Times New Roman;serif"/>
          <w:b w:val="false"/>
          <w:color w:val="000000"/>
          <w:sz w:val="22"/>
        </w:rPr>
        <w:t>(i)</w:t>
      </w:r>
      <w:r>
        <w:rPr>
          <w:rFonts w:ascii="Times New Roman;serif" w:hAnsi="Times New Roman;serif"/>
          <w:b w:val="false"/>
          <w:color w:val="000000"/>
          <w:sz w:val="22"/>
          <w:u w:val="single"/>
        </w:rPr>
        <w:t>Survival</w:t>
      </w:r>
      <w:r>
        <w:rPr>
          <w:rFonts w:ascii="Times New Roman;serif" w:hAnsi="Times New Roman;serif"/>
          <w:b w:val="false"/>
          <w:color w:val="000000"/>
          <w:sz w:val="22"/>
        </w:rPr>
        <w:t>. Each party’s obligations under this Section 2.20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40" w:before="0" w:after="240"/>
        <w:ind w:left="0" w:right="0" w:firstLine="720"/>
        <w:jc w:val="both"/>
        <w:rPr/>
      </w:pPr>
      <w:bookmarkStart w:id="170" w:name="i198475edd0154268ac098820fcc4a398"/>
      <w:bookmarkEnd w:id="170"/>
      <w:r>
        <w:rPr>
          <w:rFonts w:ascii="Times New Roman;serif" w:hAnsi="Times New Roman;serif"/>
          <w:b/>
          <w:color w:val="000000"/>
          <w:sz w:val="22"/>
        </w:rPr>
        <w:t>Section 2.21</w:t>
      </w:r>
      <w:r>
        <w:rPr>
          <w:rFonts w:ascii="Times New Roman;serif" w:hAnsi="Times New Roman;serif"/>
          <w:b/>
          <w:color w:val="000000"/>
          <w:sz w:val="22"/>
          <w:u w:val="single"/>
        </w:rPr>
        <w:t>Payments Generally; Pro Rata Treatment; Sharing of Set-offs.</w:t>
      </w:r>
    </w:p>
    <w:p>
      <w:pPr>
        <w:pStyle w:val="TextBody"/>
        <w:bidi w:val="0"/>
        <w:spacing w:lineRule="auto" w:line="240" w:before="0" w:after="240"/>
        <w:ind w:left="0" w:right="0" w:firstLine="1440"/>
        <w:jc w:val="both"/>
        <w:rPr/>
      </w:pPr>
      <w:bookmarkStart w:id="171" w:name="i9d18854e33bd46fdb7609e56cbd9e109"/>
      <w:bookmarkEnd w:id="171"/>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make each payment required to be made by it hereunder (whether of principal, interest, fees or reimbursement of LC Disbursements, or of amounts payable under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2.20</w:t>
      </w:r>
      <w:r>
        <w:rPr>
          <w:rFonts w:ascii="Times New Roman;serif" w:hAnsi="Times New Roman;serif"/>
          <w:b w:val="false"/>
          <w:color w:val="000000"/>
          <w:sz w:val="22"/>
        </w:rPr>
        <w:t xml:space="preserve">, or otherwise) prior to 2:00 p.m. on the date when due, in immediately available funds, free and clear of any defenses, rights of set-off, counterclaim, or withholding or deduction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036955"/>
                <wp:effectExtent l="0" t="0" r="0" b="0"/>
                <wp:wrapNone/>
                <wp:docPr id="202" name="Frame20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applicable Issuing Bank or the Swingline Lender as expressly provided herein and except that payments pursuant to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shall be made directly to the Persons entitled thereto. The Administrative Agent shall distribute any such payments received by it for the account of any other Person to the appropriate recipient promptly following receipt thereof. All payments hereunder shall be made in Dollars.</w:t>
      </w:r>
    </w:p>
    <w:p>
      <w:pPr>
        <w:pStyle w:val="TextBody"/>
        <w:bidi w:val="0"/>
        <w:spacing w:lineRule="auto" w:line="240" w:before="0" w:after="240"/>
        <w:ind w:left="0" w:right="0" w:firstLine="1440"/>
        <w:jc w:val="both"/>
        <w:rPr/>
      </w:pPr>
      <w:bookmarkStart w:id="172" w:name="i98bbc4ba97644f44a6c275a1b8b901e0"/>
      <w:bookmarkEnd w:id="172"/>
      <w:r>
        <w:rPr>
          <w:rFonts w:ascii="Times New Roman;serif" w:hAnsi="Times New Roman;serif"/>
          <w:b w:val="false"/>
          <w:color w:val="000000"/>
          <w:sz w:val="22"/>
        </w:rPr>
        <w:t>(b)</w:t>
      </w:r>
      <w:r>
        <w:rPr>
          <w:rFonts w:ascii="Times New Roman;serif" w:hAnsi="Times New Roman;serif"/>
          <w:b w:val="false"/>
          <w:color w:val="000000"/>
          <w:sz w:val="22"/>
        </w:rPr>
        <w:t xml:space="preserve">If at any time insufficient funds are received by and available to the Administrative Agent to pay fully all amounts of principal, unreimbursed LC Disbursements, interest and fees then due hereunder, such funds shall be applied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all fees and reimbursable expenses of the Administrative Agent then due and payable pursuant to any of the Loan Documents;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all reimbursable expenses of the Lenders and all fees and reimbursable expenses of the Issuing Banks then due and payable pursuant to any of the Loan Documents,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Lenders and the Issuing Banks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shares of such fees and expenses;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all interest and fees then due and payable hereunder,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Lenders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shares of such interest and fees; and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all principal of the Loans and unreimbursed LC Disbursements then due and payable hereunder,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parties entitled thereto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shares of such principal and unreimbursed LC Disbursements.</w:t>
      </w:r>
    </w:p>
    <w:p>
      <w:pPr>
        <w:pStyle w:val="TextBody"/>
        <w:bidi w:val="0"/>
        <w:spacing w:lineRule="auto" w:line="240" w:before="0" w:after="240"/>
        <w:ind w:left="0" w:right="0" w:firstLine="1440"/>
        <w:jc w:val="both"/>
        <w:rPr/>
      </w:pPr>
      <w:bookmarkStart w:id="173" w:name="i313508e2329c45a9aa4182304a474c25"/>
      <w:bookmarkEnd w:id="173"/>
      <w:r>
        <w:rPr>
          <w:rFonts w:ascii="Times New Roman;serif" w:hAnsi="Times New Roman;serif"/>
          <w:b w:val="false"/>
          <w:color w:val="000000"/>
          <w:sz w:val="22"/>
        </w:rPr>
        <w:t>(c)</w:t>
      </w:r>
      <w:r>
        <w:rPr>
          <w:rFonts w:ascii="Times New Roman;serif" w:hAnsi="Times New Roman;serif"/>
          <w:b w:val="false"/>
          <w:color w:val="000000"/>
          <w:sz w:val="22"/>
        </w:rPr>
        <w:t xml:space="preserve">If any Lender shall, by exercising any right of set-off or counterclaim or otherwise, obtain payment in respect of any principal of or interest on any of its Loans or participations in LC Disbursements or Swingline Loans that would result in such Lender receiving payment of a greater proportion of the aggregate amount of its Revolving Credit Exposure, Term Loans and accrued interest and fees thereon than the proportion received by any other Lender with respect to its Revolving Credit Exposure or Term Loans, then the Lender receiving such greater proportion shall purchase (for cash at face value) participations in the Revolving Credit Exposure and Term Loans of other Lenders to the extent necessary so that the benefit of all such payments shall be shared by the Lenders ratably in accordance with the aggregate amount of principal of and accrued interest on their respective Revolving Credit Exposure and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Revolving Credit Exposure or Term Loans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lineRule="auto" w:line="240" w:before="0" w:after="240"/>
        <w:ind w:left="0" w:right="0" w:firstLine="1440"/>
        <w:jc w:val="both"/>
        <w:rPr/>
      </w:pPr>
      <w:bookmarkStart w:id="174" w:name="ia741a04f7a7a47e0b7f3b31dd19b40d3"/>
      <w:bookmarkEnd w:id="174"/>
      <w:r>
        <w:rPr>
          <w:rFonts w:ascii="Times New Roman;serif" w:hAnsi="Times New Roman;serif"/>
          <w:b w:val="false"/>
          <w:color w:val="000000"/>
          <w:sz w:val="22"/>
        </w:rPr>
        <w:t>(d)</w:t>
      </w:r>
      <w:r>
        <w:rPr>
          <w:rFonts w:ascii="Times New Roman;serif" w:hAnsi="Times New Roman;serif"/>
          <w:b w:val="false"/>
          <w:color w:val="000000"/>
          <w:sz w:val="22"/>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or amounts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40" w:before="0" w:after="240"/>
        <w:ind w:left="0" w:right="0" w:firstLine="720"/>
        <w:jc w:val="both"/>
        <w:rPr/>
      </w:pPr>
      <w:bookmarkStart w:id="175" w:name="i60c2337492e34e959896c7d56f8b5550"/>
      <w:bookmarkEnd w:id="175"/>
      <w:r>
        <w:rPr>
          <w:rFonts w:ascii="Times New Roman;serif" w:hAnsi="Times New Roman;serif"/>
          <w:b/>
          <w:color w:val="000000"/>
          <w:sz w:val="22"/>
        </w:rPr>
        <w:t>Section 2.22</w:t>
      </w:r>
      <w:r>
        <w:rPr>
          <w:rFonts w:ascii="Times New Roman;serif" w:hAnsi="Times New Roman;serif"/>
          <w:b/>
          <w:color w:val="000000"/>
          <w:sz w:val="22"/>
          <w:u w:val="single"/>
        </w:rPr>
        <w:t>Letters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036955"/>
                <wp:effectExtent l="0" t="0" r="0" b="0"/>
                <wp:wrapNone/>
                <wp:docPr id="203" name="Frame20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40" w:before="0" w:after="240"/>
        <w:ind w:left="0" w:right="0" w:firstLine="1440"/>
        <w:jc w:val="both"/>
        <w:rPr/>
      </w:pPr>
      <w:bookmarkStart w:id="176" w:name="i06b1af23137d46cca66caa725aef45a8"/>
      <w:bookmarkEnd w:id="176"/>
      <w:r>
        <w:rPr>
          <w:rFonts w:ascii="Times New Roman;serif" w:hAnsi="Times New Roman;serif"/>
          <w:b w:val="false"/>
          <w:color w:val="000000"/>
          <w:sz w:val="22"/>
        </w:rPr>
        <w:t>(a)</w:t>
      </w:r>
      <w:r>
        <w:rPr>
          <w:rFonts w:ascii="Times New Roman;serif" w:hAnsi="Times New Roman;serif"/>
          <w:b w:val="false"/>
          <w:color w:val="000000"/>
          <w:sz w:val="22"/>
        </w:rPr>
        <w:t xml:space="preserve">During the Availability Period, each Issuing Bank, in reliance upon the agreements of the other Revolving Lenders pursuant to subsections (d) and (e) of this Section, may issue, at the request of the Borrower, Letters of Credit for the account of the Borrower or any Subsidiary Loan Party (which may be for the benefit of any Subsidiary) (as specified by the Borrower in the request for such Letter of Credit) on the terms and conditions hereinafter set forth;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each Letter of Credit shall expire on the earlier of (A) the date that is one (1) year after the date of issuance of such Letter of Credit (or, in the case of any renewal or extension thereof, one (1) year after such renewal or extension) and (B) the date that is five (5) Business Days prior to the Revolving Commitment Termination Date; (ii) each Letter of Credit shall be in a stated amount to be mutually agreed between the Borrower and the applicable Issuing Bank; and (iii) the Borrower may not request any Letter of Credit if, after giving effect to such issuance, (AA) the aggregate LC Exposure would exceed the LC Commitment or (BB) the aggregate Revolving Credit Exposure of all Revolving Lenders would exceed the Aggregate Revolving Commitment Amount and (iv) the Borrower shall not request, and no Issuing Bank shall have an obligation to issue, any Letter of Credit the proceeds of which would be made available to any Person (AAA) to fund any activity or business of or with any Sanctioned Person or in any Sanctioned Countries, that, at the time of such funding, is the subject of any Sanctions or (BBB) in any manner that would result in a violation of any Sanctions by any party to this Agreement. Each Revolving Lender shall be deemed to, and hereby irrevocably and unconditionally agrees to, purchase from the applicable Issuing Bank without recourse a participation in each Letter of Credit equal to such Lender’s Pro Rata Share of the aggregate amount available to be drawn under such Letter of Credit on the date of issuance with respect to such Letters of Credit. Each issuance of a Letter of Credit shall be deemed to utilize the Revolving Commitment of each Revolving Lender by an amount equal to the amount of such participation.</w:t>
      </w:r>
    </w:p>
    <w:p>
      <w:pPr>
        <w:pStyle w:val="TextBody"/>
        <w:bidi w:val="0"/>
        <w:spacing w:lineRule="auto" w:line="240" w:before="0" w:after="240"/>
        <w:ind w:left="0" w:right="0" w:firstLine="1440"/>
        <w:jc w:val="both"/>
        <w:rPr/>
      </w:pPr>
      <w:bookmarkStart w:id="177" w:name="if7b602a501ec4dcead3de686da10802a"/>
      <w:bookmarkEnd w:id="177"/>
      <w:r>
        <w:rPr>
          <w:rFonts w:ascii="Times New Roman;serif" w:hAnsi="Times New Roman;serif"/>
          <w:b w:val="false"/>
          <w:color w:val="000000"/>
          <w:sz w:val="22"/>
        </w:rPr>
        <w:t>(b)</w:t>
      </w:r>
      <w:r>
        <w:rPr>
          <w:rFonts w:ascii="Times New Roman;serif" w:hAnsi="Times New Roman;serif"/>
          <w:b w:val="false"/>
          <w:color w:val="000000"/>
          <w:sz w:val="22"/>
        </w:rPr>
        <w:t xml:space="preserve">To request the issuance of a Letter of Credit (or any amendment, renewal or extension of an outstanding Letter of Credit), the Borrower shall give the applicable Issuing Bank and the Administrative Agent irrevocable written notice at least three (3) Business Days prior to the requested date of such issuance specifying the date (which shall be a Business Day) such Letter of Credit is to be issued (or amended, renewed or extended, as the case may be), the expiration date of such Letter of Credit, the amount of such Letter of Credit, the name and address of the beneficiary thereof, whether such Letter of Credit shall be issued on the account of the Borrower or a Subsidiary, and such other information as shall be necessary to prepare, amend, renew or extend such Letter of Credit. In addition to the satisfaction of the conditions in </w:t>
      </w:r>
      <w:r>
        <w:rPr>
          <w:rFonts w:ascii="Times New Roman;serif" w:hAnsi="Times New Roman;serif"/>
          <w:b w:val="false"/>
          <w:color w:val="000000"/>
          <w:sz w:val="22"/>
          <w:u w:val="single"/>
        </w:rPr>
        <w:t>Article III</w:t>
      </w:r>
      <w:r>
        <w:rPr>
          <w:rFonts w:ascii="Times New Roman;serif" w:hAnsi="Times New Roman;serif"/>
          <w:b w:val="false"/>
          <w:color w:val="000000"/>
          <w:sz w:val="22"/>
        </w:rPr>
        <w:t>, the issuance of such Letter of Credit (or any amendment which increases the amount of such Letter of Credit) will be subject to the further conditions that such Letter of Credit shall be in such form and contain such terms as the applicable Issuing Bank shall approve and that the Borrower and/or the applicable Subsidiary shall have executed and delivered any additional applications, agreements and instruments relating to such Letter of Credit as the applicable Issuing Bank shall reasonably require; provided that in the event of any conflict between such applications, agreements or instruments and this Agreement, the terms of this Agreement shall control.</w:t>
      </w:r>
    </w:p>
    <w:p>
      <w:pPr>
        <w:pStyle w:val="TextBody"/>
        <w:bidi w:val="0"/>
        <w:spacing w:lineRule="auto" w:line="240" w:before="0" w:after="240"/>
        <w:ind w:left="0" w:right="0" w:firstLine="1440"/>
        <w:jc w:val="both"/>
        <w:rPr/>
      </w:pPr>
      <w:bookmarkStart w:id="178" w:name="icc4940eb7c3a47f9998be1599f0ab32b"/>
      <w:bookmarkEnd w:id="178"/>
      <w:r>
        <w:rPr>
          <w:rFonts w:ascii="Times New Roman;serif" w:hAnsi="Times New Roman;serif"/>
          <w:b w:val="false"/>
          <w:color w:val="000000"/>
          <w:sz w:val="22"/>
        </w:rPr>
        <w:t>(c)</w:t>
      </w:r>
      <w:r>
        <w:rPr>
          <w:rFonts w:ascii="Times New Roman;serif" w:hAnsi="Times New Roman;serif"/>
          <w:b w:val="false"/>
          <w:color w:val="000000"/>
          <w:sz w:val="22"/>
        </w:rPr>
        <w:t xml:space="preserve">At least two (2) Business Days prior to the issuance of any Letter of Credit, the applicable Issuing Bank will confirm with the Administrative Agent (by telephone or in writing) that the Administrative Agent has received such notice, and, if not, the applicable Issuing Bank will provide the Administrative Agent with a copy thereof. Unless the applicable Issuing Bank has received notice from the Administrative Agent, on or before the Business Day immediately preceding the date the applicable Issuing Bank is to issue the requested Letter of Credit, directing the applicable Issuing Bank not to issue the Letter of Credit because such issuance is not then permitted hereunder because of the limitations set forth in subsection (a) of this Section or that one or more conditions specified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are not then satisfied, then, subject to the terms and conditions hereof, the applicable Issuing Bank shall, on the requested date, issue such Letter of Credit in accordance with such Issuing Bank’s usual and customary business practices.</w:t>
      </w:r>
    </w:p>
    <w:p>
      <w:pPr>
        <w:pStyle w:val="TextBody"/>
        <w:bidi w:val="0"/>
        <w:spacing w:lineRule="auto" w:line="240" w:before="0" w:after="240"/>
        <w:ind w:left="0" w:right="0" w:firstLine="1440"/>
        <w:jc w:val="both"/>
        <w:rPr/>
      </w:pPr>
      <w:bookmarkStart w:id="179" w:name="ia59a5af9ff1c4e9a88e6c32d749a46b3"/>
      <w:bookmarkEnd w:id="179"/>
      <w:r>
        <w:rPr>
          <w:rFonts w:ascii="Times New Roman;serif" w:hAnsi="Times New Roman;serif"/>
          <w:b w:val="false"/>
          <w:color w:val="000000"/>
          <w:sz w:val="22"/>
        </w:rPr>
        <w:t>(d)</w:t>
      </w:r>
      <w:r>
        <w:rPr>
          <w:rFonts w:ascii="Times New Roman;serif" w:hAnsi="Times New Roman;serif"/>
          <w:b w:val="false"/>
          <w:color w:val="000000"/>
          <w:sz w:val="22"/>
        </w:rPr>
        <w:t xml:space="preserve">Each Issuing Bank shall examine all documents purporting to represent a demand for payment under a Letter of Credit promptly following its receipt thereof. Each Issuing Bank shall notify the Borrower and the Administrative Agent of such demand for payment and whether such Issuing Bank has made or will make a LC Disbursement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failure to give or delay in giving such notice shall not relieve the Borrower of its obligation to reimburse such Issuing Bank and the Revolving Lenders with respect to such LC Disbursement. The Borrower shall be irrevocably and unconditionally obligated to reimburse the applicable Issuing Bank for any LC Disbursements paid by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036955"/>
                <wp:effectExtent l="0" t="0" r="0" b="0"/>
                <wp:wrapNone/>
                <wp:docPr id="204" name="Frame20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such Issuing Bank in respect of such drawing, without presentment, demand or other formalities of any kind. Unless the Borrower shall have notified the applicable Issuing Bank and the Administrative Agent prior to 11:00 a.m. on the Business Day immediately prior to the date on which such drawing is honored that the Borrower intends to reimburse such Issuing Bank for the amount of such drawing in funds other than from the proceeds of Revolving Loans, the Borrower shall be deemed to have timely given a Notice of Revolving Borrowing to the Administrative Agent requesting the Revolving Lenders to make a Base Rate Borrowing on the date on which such drawing is honored in an exact amount due to such Issuing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solely of such Borrowing, the conditions precedent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hereof shall not be applicable. The Administrative Agent shall notify the Revolving Lenders of such Borrowing in accordance with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and each Revolving Lender shall make the proceeds of its Base Rate Loan included in such Borrowing available to the Administrative Agent for the account of the applicable Issuing Bank in accordance with </w:t>
      </w:r>
      <w:r>
        <w:rPr>
          <w:rFonts w:ascii="Times New Roman;serif" w:hAnsi="Times New Roman;serif"/>
          <w:b w:val="false"/>
          <w:color w:val="000000"/>
          <w:sz w:val="22"/>
          <w:u w:val="single"/>
        </w:rPr>
        <w:t>Section 2.6</w:t>
      </w:r>
      <w:r>
        <w:rPr>
          <w:rFonts w:ascii="Times New Roman;serif" w:hAnsi="Times New Roman;serif"/>
          <w:b w:val="false"/>
          <w:color w:val="000000"/>
          <w:sz w:val="22"/>
        </w:rPr>
        <w:t>. The proceeds of such Borrowing shall be applied directly by the Administrative Agent to reimburse the applicable Issuing Bank for such LC Disbursement.</w:t>
      </w:r>
    </w:p>
    <w:p>
      <w:pPr>
        <w:pStyle w:val="TextBody"/>
        <w:bidi w:val="0"/>
        <w:spacing w:lineRule="auto" w:line="240" w:before="0" w:after="240"/>
        <w:ind w:left="0" w:right="0" w:firstLine="1440"/>
        <w:jc w:val="both"/>
        <w:rPr/>
      </w:pPr>
      <w:bookmarkStart w:id="180" w:name="idbbcd1b99ac54ab2b9160e7e854ca3ab"/>
      <w:bookmarkEnd w:id="180"/>
      <w:r>
        <w:rPr>
          <w:rFonts w:ascii="Times New Roman;serif" w:hAnsi="Times New Roman;serif"/>
          <w:b w:val="false"/>
          <w:color w:val="000000"/>
          <w:sz w:val="22"/>
        </w:rPr>
        <w:t>(e)</w:t>
      </w:r>
      <w:r>
        <w:rPr>
          <w:rFonts w:ascii="Times New Roman;serif" w:hAnsi="Times New Roman;serif"/>
          <w:b w:val="false"/>
          <w:color w:val="000000"/>
          <w:sz w:val="22"/>
        </w:rPr>
        <w:t xml:space="preserve">If for any reason a Base Rate Borrowing may not be (as determined in the sole discretion of the Administrative Agent), or is not, made in accordance with the foregoing provisions, then each Revolving Lender (other than the applicable Issuing Bank) shall be obligated to fund the participation that such Lender purchased pursuant to subsection (a) of this Section in an amount equal to its Pro Rata Share of such LC Disbursement on and as of the date which such Base Rate Borrowing should have occurred. Each Revolving Lender’s obligation to fund its participation shall be absolute and unconditional and shall not be affected by any circumstance, including (i) any set-off, counterclaim, recoupment, defense or other right that such Lender or any other Person may have against the applicable Issuing Bank or any other Person for any reason whatsoever, (ii) the existence of a Default or an Event of Default or the termination of the Aggregate Revolving Commitments, (iii) any adverse change in the condition (financial or otherwise) of the Borrower or any of its Subsidiaries, (iv) any breach of this Agreement by the Borrower or any other Revolving Lender, (v) any amendment, renewal or extension of any Letter of Credit or (vi) any other circumstance, happening or event whatsoever, whether or not similar to any of the foregoing. On the date that such participation is required to be funded, each Revolving Lender shall promptly transfer, in immediately available funds, the amount of its participation to the Administrative Agent for the account of the applicable Issuing Bank. Whenever, at any time after the applicable Issuing Bank has received from any such Lender the funds for its participation in a LC Disbursement, such Issuing Bank (or the Administrative Agent on its behalf) receives any payment on account thereof, the Administrative Agent or such Issuing Bank, as the case may be, will distribute to such Lender its Pro Rata Share of such payment;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payment is required to be returned for any reason to the Borrower or to a trustee, receiver, liquidator, custodian or similar official in any bankruptcy proceeding, such Lender will return to the Administrative Agent or such Issuing Bank any portion thereof previously distributed by the Administrative Agent or such Issuing Bank to it.</w:t>
      </w:r>
    </w:p>
    <w:p>
      <w:pPr>
        <w:pStyle w:val="TextBody"/>
        <w:bidi w:val="0"/>
        <w:spacing w:lineRule="auto" w:line="240" w:before="0" w:after="240"/>
        <w:ind w:left="0" w:right="0" w:firstLine="1440"/>
        <w:jc w:val="both"/>
        <w:rPr/>
      </w:pPr>
      <w:bookmarkStart w:id="181" w:name="i7f7af19612d94a5fa936fa9bbec195f0"/>
      <w:bookmarkEnd w:id="181"/>
      <w:r>
        <w:rPr>
          <w:rFonts w:ascii="Times New Roman;serif" w:hAnsi="Times New Roman;serif"/>
          <w:b w:val="false"/>
          <w:color w:val="000000"/>
          <w:sz w:val="22"/>
        </w:rPr>
        <w:t>(f)</w:t>
      </w:r>
      <w:r>
        <w:rPr>
          <w:rFonts w:ascii="Times New Roman;serif" w:hAnsi="Times New Roman;serif"/>
          <w:b w:val="false"/>
          <w:color w:val="000000"/>
          <w:sz w:val="22"/>
        </w:rPr>
        <w:t xml:space="preserve">To the extent that any Revolving Lender shall fail to pay any amount required to be paid pursuant to subsection (d) or (e) of this Section on the due date therefor, such Lender shall pay interest to the applicable Issuing Bank (through the Administrative Agent) on such amount from such due date to the date such payment is made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equal to the Federal Funds Rate; provided that if such Lender shall fail to make such payment to the applicable Issuing Bank within three (3) Business Days of such due date, then, retroactively to the due date, such Lender shall be obligated to pay interest on such amount at the Base Rate.</w:t>
      </w:r>
    </w:p>
    <w:p>
      <w:pPr>
        <w:pStyle w:val="TextBody"/>
        <w:bidi w:val="0"/>
        <w:spacing w:lineRule="auto" w:line="240" w:before="0" w:after="240"/>
        <w:ind w:left="0" w:right="0" w:firstLine="1440"/>
        <w:jc w:val="both"/>
        <w:rPr/>
      </w:pPr>
      <w:bookmarkStart w:id="182" w:name="i8ffe990beca4436d9903c8cb6864e196"/>
      <w:bookmarkEnd w:id="182"/>
      <w:r>
        <w:rPr>
          <w:rFonts w:ascii="Times New Roman;serif" w:hAnsi="Times New Roman;serif"/>
          <w:b w:val="false"/>
          <w:color w:val="000000"/>
          <w:sz w:val="22"/>
        </w:rPr>
        <w:t>(g)</w:t>
      </w:r>
      <w:r>
        <w:rPr>
          <w:rFonts w:ascii="Times New Roman;serif" w:hAnsi="Times New Roman;serif"/>
          <w:b w:val="false"/>
          <w:color w:val="000000"/>
          <w:sz w:val="22"/>
        </w:rPr>
        <w:t xml:space="preserve">If any Event of Default shall occur and be continuing, on the Business Day that the Borrower receives written notice from the Administrative Agent or the Required Lenders demanding that its reimbursement obligations with respect to the Letters of Credit be Cash Collateralized pursuant to this subsection, the Borrower shall deposit in an account with the Administrative Agent, in the name of the Administrative Agent and for the benefit of the Issuing Banks (as applicable) and the Revolving Lenders, an amount in cash equal to 103% of the aggregate LC Exposure of all Revolving Lenders as of such date plus any accrued and unpaid fees thereon;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w:t>
      </w:r>
      <w:r>
        <w:rPr>
          <w:rFonts w:ascii="Times New Roman;serif" w:hAnsi="Times New Roman;serif"/>
          <w:b w:val="false"/>
          <w:color w:val="000000"/>
          <w:sz w:val="22"/>
          <w:u w:val="single"/>
        </w:rPr>
        <w:t>Section 8.1(h)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Such deposit shall be held by the Administrative Agent as collateral for the payment and performance of the obligations of the Borrower under this Agreement. The Administrative Agent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036955"/>
                <wp:effectExtent l="0" t="0" r="0" b="0"/>
                <wp:wrapNone/>
                <wp:docPr id="205" name="Frame20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have exclusive dominion and control, including the exclusive right of withdrawal, over such account. The Borrower agrees to execute any documents and/or certificates to effectuate the intent of this subsection.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each Issuing Bank for LC Disbursements for which it had not been reimbursed and, to the extent not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w:t>
      </w:r>
    </w:p>
    <w:p>
      <w:pPr>
        <w:pStyle w:val="TextBody"/>
        <w:bidi w:val="0"/>
        <w:spacing w:lineRule="auto" w:line="240" w:before="0" w:after="240"/>
        <w:ind w:left="0" w:right="0" w:firstLine="1440"/>
        <w:jc w:val="both"/>
        <w:rPr/>
      </w:pPr>
      <w:bookmarkStart w:id="183" w:name="i767f22ce7f6948ccaf385b9e49756de2"/>
      <w:bookmarkEnd w:id="183"/>
      <w:r>
        <w:rPr>
          <w:rFonts w:ascii="Times New Roman;serif" w:hAnsi="Times New Roman;serif"/>
          <w:b w:val="false"/>
          <w:color w:val="000000"/>
          <w:sz w:val="22"/>
        </w:rPr>
        <w:t>(h)</w:t>
      </w:r>
      <w:r>
        <w:rPr>
          <w:rFonts w:ascii="Times New Roman;serif" w:hAnsi="Times New Roman;serif"/>
          <w:b w:val="false"/>
          <w:color w:val="000000"/>
          <w:sz w:val="22"/>
        </w:rPr>
        <w:t>Upon the request of any Revolving Lender, but no more frequently than quarterly, each Issuing Bank shall deliver (through the Administrative Agent) to each Revolving Lender and the Borrower a report describing the aggregate Letters of Credit then outstanding. Upon the request of any Revolving Lender from time to time, each Issuing Bank shall deliver to such Lender any other information reasonably requested by such Lender with respect to each Letter of Credit then outstanding.</w:t>
      </w:r>
    </w:p>
    <w:p>
      <w:pPr>
        <w:pStyle w:val="TextBody"/>
        <w:bidi w:val="0"/>
        <w:spacing w:lineRule="auto" w:line="240" w:before="0" w:after="240"/>
        <w:ind w:left="0" w:right="0" w:firstLine="1440"/>
        <w:jc w:val="both"/>
        <w:rPr/>
      </w:pPr>
      <w:bookmarkStart w:id="184" w:name="ic154f86678d443fab4274245e375c51e"/>
      <w:bookmarkEnd w:id="184"/>
      <w:r>
        <w:rPr>
          <w:rFonts w:ascii="Times New Roman;serif" w:hAnsi="Times New Roman;serif"/>
          <w:b w:val="false"/>
          <w:color w:val="000000"/>
          <w:sz w:val="22"/>
        </w:rPr>
        <w:t>(i)</w:t>
      </w:r>
      <w:r>
        <w:rPr>
          <w:rFonts w:ascii="Times New Roman;serif" w:hAnsi="Times New Roman;serif"/>
          <w:b w:val="false"/>
          <w:color w:val="000000"/>
          <w:sz w:val="22"/>
        </w:rPr>
        <w:t>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85" w:name="ibe69db50e7e4406db1d681685d5dc731"/>
      <w:bookmarkEnd w:id="185"/>
      <w:r>
        <w:rPr>
          <w:rFonts w:ascii="Times New Roman;serif" w:hAnsi="Times New Roman;serif"/>
          <w:b w:val="false"/>
          <w:color w:val="000000"/>
          <w:sz w:val="22"/>
        </w:rPr>
        <w:t>(i)any lack of validity or enforceability of any Letter of Credit or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86" w:name="i7238fe557fe641a7bb355bb371c9538a"/>
      <w:bookmarkEnd w:id="186"/>
      <w:r>
        <w:rPr>
          <w:rFonts w:ascii="Times New Roman;serif" w:hAnsi="Times New Roman;serif"/>
          <w:b w:val="false"/>
          <w:color w:val="000000"/>
          <w:sz w:val="22"/>
        </w:rPr>
        <w:t>(ii)the existence of any claim, set-off, defense or other right which the Borrower or any Subsidiary or Affiliate of the Borrower may have at any time against a beneficiary or any transferee of any Letter of Credit (or any Persons or entities for whom any such beneficiary or transferee may be acting), any Revolving Lender (including any Issuing Bank) or any other Person, whether in connection with this Agreement or the Letter of Credit or any document related hereto or thereto or any unrelated transaction;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87" w:name="i5c13c4856960473d876510fff137fbbd"/>
      <w:bookmarkEnd w:id="187"/>
      <w:r>
        <w:rPr>
          <w:rFonts w:ascii="Times New Roman;serif" w:hAnsi="Times New Roman;serif"/>
          <w:b w:val="false"/>
          <w:color w:val="000000"/>
          <w:sz w:val="22"/>
        </w:rPr>
        <w:t>(iii)any draft or other document presented under a Letter of Credit proving to be forged, fraudulent or invalid in any respect or any statement therein being untrue or inaccurate in any respect;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88" w:name="i00c90bdfb3fd4ae3824b3f37ae4c3651"/>
      <w:bookmarkEnd w:id="188"/>
      <w:r>
        <w:rPr>
          <w:rFonts w:ascii="Times New Roman;serif" w:hAnsi="Times New Roman;serif"/>
          <w:b w:val="false"/>
          <w:color w:val="000000"/>
          <w:sz w:val="22"/>
        </w:rPr>
        <w:t>(iv)payment by the applicable Issuing Bank under a Letter of Credit against presentation of a draft or other document to such Issuing Bank that does not comply with the terms of such Letter of Credit;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89" w:name="i62ad49307b8b40a3953b37857d4fb1ff"/>
      <w:bookmarkEnd w:id="189"/>
      <w:r>
        <w:rPr>
          <w:rFonts w:ascii="Times New Roman;serif" w:hAnsi="Times New Roman;serif"/>
          <w:b w:val="false"/>
          <w:color w:val="000000"/>
          <w:sz w:val="22"/>
        </w:rPr>
        <w:t>(v)any other event or circumstance whatsoever, whether or not similar to any of the foregoing, that might, but for the provisions of this Section, constitute a legal or equitable discharge of, or provide a right of set-off against, the Borrower’s obligations hereunder;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0" w:name="ifd71c954cb1f4e4da59ca0eb9c88ce6a"/>
      <w:bookmarkEnd w:id="190"/>
      <w:r>
        <w:rPr>
          <w:rFonts w:ascii="Times New Roman;serif" w:hAnsi="Times New Roman;serif"/>
          <w:b w:val="false"/>
          <w:color w:val="000000"/>
          <w:sz w:val="22"/>
        </w:rPr>
        <w:t>(vi)the existence of a Default or an Event of Default.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Administrative Agent, any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036955"/>
                <wp:effectExtent l="0" t="0" r="0" b="0"/>
                <wp:wrapNone/>
                <wp:docPr id="206" name="Frame20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technical terms or any consequence arising from causes beyond the control of the Issuing Banks; provided that the foregoing shall not be construed to excuse any Issuing Banks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such Issuing Bank’s failure to exercise due care when determining whether drafts or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240"/>
        <w:ind w:left="0" w:right="0" w:firstLine="1440"/>
        <w:jc w:val="both"/>
        <w:rPr/>
      </w:pPr>
      <w:bookmarkStart w:id="191" w:name="idc0f8c0fd57c4832aae8a7d79e40cd9e"/>
      <w:bookmarkEnd w:id="191"/>
      <w:r>
        <w:rPr>
          <w:rFonts w:ascii="Times New Roman;serif" w:hAnsi="Times New Roman;serif"/>
          <w:b w:val="false"/>
          <w:color w:val="000000"/>
          <w:sz w:val="22"/>
        </w:rPr>
        <w:t>(j)</w:t>
      </w:r>
      <w:r>
        <w:rPr>
          <w:rFonts w:ascii="Times New Roman;serif" w:hAnsi="Times New Roman;serif"/>
          <w:b w:val="false"/>
          <w:color w:val="000000"/>
          <w:sz w:val="22"/>
        </w:rPr>
        <w:t>Unless otherwise expressly agreed by the applicable Issuing Bank and the Borrower when a Letter of Credit is issued and subject to applicable laws, (i) each standby Letter of Credit shall be governed by the “International Standby Practices 1998” (ISP98) (or such later revision as may be published by the Institute of International Banking Law &amp; Practice on any date any Letter of Credit may 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and (iii) the Borrower shall specify the foregoing in each letter of credit application submitted for the issuance of a Letter of Credit.</w:t>
      </w:r>
    </w:p>
    <w:p>
      <w:pPr>
        <w:pStyle w:val="TextBody"/>
        <w:bidi w:val="0"/>
        <w:spacing w:lineRule="auto" w:line="240" w:before="0" w:after="240"/>
        <w:ind w:left="0" w:right="0" w:firstLine="1440"/>
        <w:jc w:val="both"/>
        <w:rPr/>
      </w:pPr>
      <w:bookmarkStart w:id="192" w:name="ib3c56f8058fc449cbafe39201338123d"/>
      <w:bookmarkEnd w:id="192"/>
      <w:r>
        <w:rPr>
          <w:rFonts w:ascii="Times New Roman;serif" w:hAnsi="Times New Roman;serif"/>
          <w:b w:val="false"/>
          <w:color w:val="000000"/>
          <w:sz w:val="22"/>
        </w:rPr>
        <w:t>(k)</w:t>
      </w:r>
      <w:r>
        <w:rPr>
          <w:rFonts w:ascii="Times New Roman;serif" w:hAnsi="Times New Roman;serif"/>
          <w:b w:val="false"/>
          <w:color w:val="000000"/>
          <w:sz w:val="22"/>
        </w:rPr>
        <w:t xml:space="preserve">Any Issuing Bank may resign as an “Issuing Bank” hereunder upon 30 days’ prior written notice to the Administrative Agent, the Lenders and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 or prior to the expiration of such 30-day period with respect to such resignation, the relevant Issuing Bank shall have identified a successor Issuing Bank reasonably acceptable to the Borrower willing to accept its appointment as successor Issuing Bank, and the effectiveness of such resignation shall be conditioned upon such successor assuming the rights and duties of the resigning Issuing Bank. In the event of any such resignation as Issuing Bank, the Borrower shall be entitled to appoint from among the Revolving Lenders a successor Issuing Bank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failure by the Borrower to appoint any such successor shall affect the resignation of the resigning Issuing Bank except as expressly provided above.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third Business Day following the date of the delivery thereof; provided that no such termination shall become effective until and unless the LC Exposure attributable to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w:t>
      </w:r>
      <w:r>
        <w:rPr>
          <w:rFonts w:ascii="Times New Roman;serif" w:hAnsi="Times New Roman;serif"/>
          <w:b w:val="false"/>
          <w:color w:val="000000"/>
          <w:sz w:val="22"/>
          <w:u w:val="single"/>
        </w:rPr>
        <w:t>Section 2.14(c)</w:t>
      </w:r>
      <w:r>
        <w:rPr>
          <w:rFonts w:ascii="Times New Roman;serif" w:hAnsi="Times New Roman;serif"/>
          <w:b w:val="false"/>
          <w:color w:val="000000"/>
          <w:sz w:val="22"/>
        </w:rPr>
        <w:t>. Notwithstanding the effectiveness of any such resignation or termination, the resigning or terminated Issuing Bank shall remain a party hereto and shall continue to have all the rights of an Issuing Bank under this Agreement with respect to Letters of Credit issued by it prior to such resignation or termination, but shall not be required to issue any additional Letters of Credit.</w:t>
      </w:r>
    </w:p>
    <w:p>
      <w:pPr>
        <w:pStyle w:val="TextBody"/>
        <w:bidi w:val="0"/>
        <w:spacing w:lineRule="auto" w:line="240" w:before="0" w:after="240"/>
        <w:ind w:left="0" w:right="0" w:firstLine="1440"/>
        <w:jc w:val="both"/>
        <w:rPr/>
      </w:pPr>
      <w:bookmarkStart w:id="193" w:name="id8ec749363d14414840ddb3d185faad2"/>
      <w:bookmarkEnd w:id="193"/>
      <w:r>
        <w:rPr>
          <w:rFonts w:ascii="Times New Roman;serif" w:hAnsi="Times New Roman;serif"/>
          <w:b w:val="false"/>
          <w:color w:val="000000"/>
          <w:sz w:val="22"/>
        </w:rPr>
        <w:t>(l)</w:t>
      </w:r>
      <w:r>
        <w:rPr>
          <w:rFonts w:ascii="Times New Roman;serif" w:hAnsi="Times New Roman;serif"/>
          <w:b w:val="false"/>
          <w:color w:val="000000"/>
          <w:sz w:val="22"/>
        </w:rPr>
        <w:t>Notwithstanding that a Letter of Credit issued or outstanding hereunder is in support of any obligations of, or is for the account of, a Subsidiary, the Borrower shall be obligated to reimburse the applicable Issuing Bank hereunder for all LC Disbursements and to otherwise perform all obligations hereunder in respect of such Letter of Credit as if it has been issued for the account of the Borrower.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036955"/>
                <wp:effectExtent l="0" t="0" r="0" b="0"/>
                <wp:wrapNone/>
                <wp:docPr id="207" name="Frame20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40" w:before="0" w:after="240"/>
        <w:ind w:left="0" w:right="0" w:firstLine="1440"/>
        <w:jc w:val="both"/>
        <w:rPr/>
      </w:pPr>
      <w:bookmarkStart w:id="194" w:name="i4f7de6f8b1ce4f4ea3282e30b0e8e8f9"/>
      <w:bookmarkEnd w:id="194"/>
      <w:r>
        <w:rPr>
          <w:rFonts w:ascii="Times New Roman;serif" w:hAnsi="Times New Roman;serif"/>
          <w:b w:val="false"/>
          <w:color w:val="000000"/>
          <w:sz w:val="22"/>
        </w:rPr>
        <w:t>(m)</w:t>
      </w:r>
      <w:r>
        <w:rPr>
          <w:rFonts w:ascii="Times New Roman;serif" w:hAnsi="Times New Roman;serif"/>
          <w:b w:val="false"/>
          <w:color w:val="000000"/>
          <w:sz w:val="22"/>
        </w:rPr>
        <w:t xml:space="preserve">With respect to each Post-Maturity LC (if any), the Borrower shall deposit, on or before the date that is five (5) Business Days prior to the date set forth in clause (i) of the definition of “Revolving Commitment Termination Date”, in an account with the Administrative Agent, in the name of the Administrative Agent and for the benefit of the Issuing Banks (as applicable) and the Revolving Lenders, an amount in cash equal to the greater of (x) 103% of the sum of (i) the aggregate undrawn amount of all outstanding Post-Maturity LCs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aggregate amount of all LC Disbursements in respect of Post-Maturity LCs that have not been reimbursed by or on behalf of the Borrower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(iii) any accrued and unpaid fees in respect of the Post-Maturity LCs and (y) an amount determined by the Administrative Agent and the Issuing Bank in their reasonable discretion (with the Administrative Agent and the Issuing Bank providing Borrower reasonable evidence supporting the calculation and determination of such additional amount) to collateralize the remaining exposure (including margin, fees, etc.) in respect the Post-Maturity LCs through their expiration (the “</w:t>
      </w:r>
      <w:r>
        <w:rPr>
          <w:rFonts w:ascii="Times New Roman;serif" w:hAnsi="Times New Roman;serif"/>
          <w:b w:val="false"/>
          <w:color w:val="000000"/>
          <w:sz w:val="22"/>
          <w:u w:val="single"/>
        </w:rPr>
        <w:t>Post-Maturity LC Exposure</w:t>
      </w:r>
      <w:r>
        <w:rPr>
          <w:color w:val="000000"/>
        </w:rPr>
        <w:t>”</w:t>
      </w:r>
      <w:r>
        <w:rPr>
          <w:rFonts w:ascii="Times New Roman;serif" w:hAnsi="Times New Roman;serif"/>
          <w:b w:val="false"/>
          <w:color w:val="000000"/>
          <w:sz w:val="22"/>
        </w:rPr>
        <w:t xml:space="preserve">). The Administrative Agent shall have exclusive dominion and control, including the exclusive right of withdrawal, over such account, until the earlier of the date of payment in full and the Revolving Commitment Termination Date, at which time the amount on deposit in such account shall be transferred to each applicable Issuing Bank for cash collateral in respect of Post-Maturity LCs that remain outstanding. Moneys in such account shall be applied by the Administrative Agent, prior to the earlier of the date of payment in full and the Revolving Commitment Termination Date, to reimburse each Issuing Bank for LC Disbursements for which it had not been reimbursed. On or before the Revolving Commitment Termination Date, the Borrower and each applicable Issuing Bank shall execute a customary “cash collateral agreement” in order to cause the cash collateral to be held by such Issuing Bank to be applied in satisfaction of all obligations of the Borrower for the Post-Maturity LC Exposure;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upon the undrawn expiration of each Post-Maturity LC, the applicable Issuing Bank shall return any remaining cash collateral (after payment of fees and expenses) in respect of such Post-Maturity LC to the Borrower within three (3) Business Days after the Borrower’s written request therefor. Notwithstanding anything to the contrary contained in the Loan Documents, in the case of any cash collateralization of Post-Maturity LCs in the context of the payment in full (due to a refinancing or otherwise) or acceleration, the amount to be cash collateralized for such Post-Maturity LCs shall be determined as set forth in clauses (x) and (y) above.</w:t>
      </w:r>
    </w:p>
    <w:p>
      <w:pPr>
        <w:pStyle w:val="TextBody"/>
        <w:bidi w:val="0"/>
        <w:spacing w:lineRule="auto" w:line="240" w:before="0" w:after="240"/>
        <w:ind w:left="0" w:right="0" w:firstLine="720"/>
        <w:jc w:val="both"/>
        <w:rPr/>
      </w:pPr>
      <w:bookmarkStart w:id="195" w:name="i8f8d0c9089934a3e9c4f72175eb36453"/>
      <w:bookmarkEnd w:id="195"/>
      <w:r>
        <w:rPr>
          <w:rFonts w:ascii="Times New Roman;serif" w:hAnsi="Times New Roman;serif"/>
          <w:b/>
          <w:color w:val="000000"/>
          <w:sz w:val="22"/>
        </w:rPr>
        <w:t>Section 2.23</w:t>
      </w:r>
      <w:r>
        <w:rPr>
          <w:rFonts w:ascii="Times New Roman;serif" w:hAnsi="Times New Roman;serif"/>
          <w:b/>
          <w:color w:val="000000"/>
          <w:sz w:val="22"/>
          <w:u w:val="single"/>
        </w:rPr>
        <w:t>Increase of Commitments; Additional Lenders.</w:t>
      </w:r>
    </w:p>
    <w:p>
      <w:pPr>
        <w:pStyle w:val="TextBody"/>
        <w:bidi w:val="0"/>
        <w:spacing w:lineRule="auto" w:line="240" w:before="0" w:after="240"/>
        <w:ind w:left="0" w:right="0" w:firstLine="1440"/>
        <w:jc w:val="both"/>
        <w:rPr/>
      </w:pPr>
      <w:bookmarkStart w:id="196" w:name="i8efbcab1590a4b57a3342586f64308a0"/>
      <w:bookmarkEnd w:id="196"/>
      <w:r>
        <w:rPr>
          <w:rFonts w:ascii="Times New Roman;serif" w:hAnsi="Times New Roman;serif"/>
          <w:b w:val="false"/>
          <w:color w:val="000000"/>
          <w:sz w:val="22"/>
        </w:rPr>
        <w:t>(a)</w:t>
      </w:r>
      <w:r>
        <w:rPr>
          <w:rFonts w:ascii="Times New Roman;serif" w:hAnsi="Times New Roman;serif"/>
          <w:b w:val="false"/>
          <w:color w:val="000000"/>
          <w:sz w:val="22"/>
        </w:rPr>
        <w:t>From time to time after the Closing Date and in accordance with this Section, the Borrower and one or more Increasing Lenders or Additional Lenders (each as defined below) may enter into an agreement to (x) increase the aggregate Revolving Commitments (“</w:t>
      </w:r>
      <w:r>
        <w:rPr>
          <w:rFonts w:ascii="Times New Roman;serif" w:hAnsi="Times New Roman;serif"/>
          <w:b w:val="false"/>
          <w:color w:val="000000"/>
          <w:sz w:val="22"/>
          <w:u w:val="single"/>
        </w:rPr>
        <w:t>Incremental Revolving Commitments</w:t>
      </w:r>
      <w:r>
        <w:rPr>
          <w:color w:val="000000"/>
        </w:rPr>
        <w:t>”</w:t>
      </w:r>
      <w:r>
        <w:rPr>
          <w:rFonts w:ascii="Times New Roman;serif" w:hAnsi="Times New Roman;serif"/>
          <w:b w:val="false"/>
          <w:color w:val="000000"/>
          <w:sz w:val="22"/>
        </w:rPr>
        <w:t>), (y) increase the aggregate Term Loan Commitments hereunder and/or (z) establish one or more tranches of new Term Loan Commitments (such increases or additional tranches, “</w:t>
      </w:r>
      <w:r>
        <w:rPr>
          <w:rFonts w:ascii="Times New Roman;serif" w:hAnsi="Times New Roman;serif"/>
          <w:b w:val="false"/>
          <w:color w:val="000000"/>
          <w:sz w:val="22"/>
          <w:u w:val="single"/>
        </w:rPr>
        <w:t>Incremental Term Loan Commitments</w:t>
      </w:r>
      <w:r>
        <w:rPr>
          <w:color w:val="000000"/>
        </w:rPr>
        <w:t>”</w:t>
      </w:r>
      <w:r>
        <w:rPr>
          <w:rFonts w:ascii="Times New Roman;serif" w:hAnsi="Times New Roman;serif"/>
          <w:b w:val="false"/>
          <w:color w:val="000000"/>
          <w:sz w:val="22"/>
        </w:rPr>
        <w:t>; and together with any Incremental Revolving Commitments, each an “</w:t>
      </w:r>
      <w:r>
        <w:rPr>
          <w:rFonts w:ascii="Times New Roman;serif" w:hAnsi="Times New Roman;serif"/>
          <w:b w:val="false"/>
          <w:color w:val="000000"/>
          <w:sz w:val="22"/>
          <w:u w:val="single"/>
        </w:rPr>
        <w:t>Incremental Commitment</w:t>
      </w:r>
      <w:r>
        <w:rPr>
          <w:color w:val="000000"/>
        </w:rPr>
        <w:t xml:space="preserve">” </w:t>
      </w:r>
      <w:r>
        <w:rPr>
          <w:rFonts w:ascii="Times New Roman;serif" w:hAnsi="Times New Roman;serif"/>
          <w:b w:val="false"/>
          <w:color w:val="000000"/>
          <w:sz w:val="22"/>
        </w:rPr>
        <w:t>and the principal amount thereof, the “</w:t>
      </w:r>
      <w:r>
        <w:rPr>
          <w:rFonts w:ascii="Times New Roman;serif" w:hAnsi="Times New Roman;serif"/>
          <w:b w:val="false"/>
          <w:color w:val="000000"/>
          <w:sz w:val="22"/>
          <w:u w:val="single"/>
        </w:rPr>
        <w:t>Incremental Commitment Amount</w:t>
      </w:r>
      <w:r>
        <w:rPr>
          <w:color w:val="000000"/>
        </w:rPr>
        <w:t>”</w:t>
      </w:r>
      <w:r>
        <w:rPr>
          <w:rFonts w:ascii="Times New Roman;serif" w:hAnsi="Times New Roman;serif"/>
          <w:b w:val="false"/>
          <w:color w:val="000000"/>
          <w:sz w:val="22"/>
        </w:rPr>
        <w:t xml:space="preserve">) so long as the following conditions are satisfied: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7" w:name="i968cb9a71d83426c9083553ca41049e3"/>
      <w:bookmarkEnd w:id="197"/>
      <w:r>
        <w:rPr>
          <w:rFonts w:ascii="Times New Roman;serif" w:hAnsi="Times New Roman;serif"/>
          <w:b w:val="false"/>
          <w:color w:val="000000"/>
          <w:sz w:val="22"/>
        </w:rPr>
        <w:t>(i)the aggregate principal amount of all such Incremental Facilities made pursuant to this Section, together with the aggregate principal amount of Incremental Equivalent Debt, shall not exceed the sum of:</w:t>
      </w:r>
    </w:p>
    <w:p>
      <w:pPr>
        <w:pStyle w:val="TextBody"/>
        <w:bidi w:val="0"/>
        <w:spacing w:lineRule="auto" w:line="240" w:before="0" w:after="240"/>
        <w:ind w:left="0" w:right="0" w:firstLine="720"/>
        <w:jc w:val="both"/>
        <w:rPr/>
      </w:pPr>
      <w:bookmarkStart w:id="198" w:name="ieea946649fcb467f9b9d791dfe6454bf"/>
      <w:bookmarkEnd w:id="198"/>
      <w:r>
        <w:rPr>
          <w:rFonts w:ascii="Times New Roman;serif" w:hAnsi="Times New Roman;serif"/>
          <w:b w:val="false"/>
          <w:color w:val="000000"/>
          <w:sz w:val="22"/>
        </w:rPr>
        <w:t xml:space="preserve">(A)$200,000,000; </w:t>
      </w:r>
      <w:r>
        <w:rPr>
          <w:rFonts w:ascii="Times New Roman;serif" w:hAnsi="Times New Roman;serif"/>
          <w:b w:val="false"/>
          <w:i/>
          <w:color w:val="000000"/>
          <w:sz w:val="22"/>
        </w:rPr>
        <w:t>plus</w:t>
      </w:r>
      <w:r>
        <w:rPr>
          <w:color w:val="000000"/>
        </w:rPr>
        <w:t xml:space="preserve"> </w:t>
      </w:r>
    </w:p>
    <w:p>
      <w:pPr>
        <w:pStyle w:val="TextBody"/>
        <w:bidi w:val="0"/>
        <w:spacing w:lineRule="auto" w:line="240" w:before="0" w:after="240"/>
        <w:ind w:left="0" w:right="0" w:firstLine="720"/>
        <w:jc w:val="both"/>
        <w:rPr/>
      </w:pPr>
      <w:bookmarkStart w:id="199" w:name="ibee98eb53c944725b148bb839a06fbf3"/>
      <w:bookmarkEnd w:id="199"/>
      <w:r>
        <w:rPr>
          <w:rFonts w:ascii="Times New Roman;serif" w:hAnsi="Times New Roman;serif"/>
          <w:b w:val="false"/>
          <w:color w:val="000000"/>
          <w:sz w:val="22"/>
        </w:rPr>
        <w:t>(B)an amount equal to the aggregate amount of (1) voluntary prepayments of any Term Loan (including any Incremental Term Loan to the extent such Incremental Term Loan was not funded under the Incurrence-Based Incremental Amount) and any Incremental Equivalent Debt (to the extent not funded under the under the Incurrence-Based Incremental Amount) and (2) permanent reductions of the Aggregate Revolving Commitments (including any Incremental Revolving Commitments), except in each case, to the extent funded with proceeds of any Credit Agreement Refinancing Indebtedness (the aggregate amount referred to in clause (A) and (B), the “</w:t>
      </w:r>
      <w:r>
        <w:rPr>
          <w:rFonts w:ascii="Times New Roman;serif" w:hAnsi="Times New Roman;serif"/>
          <w:b w:val="false"/>
          <w:color w:val="000000"/>
          <w:sz w:val="22"/>
          <w:u w:val="single"/>
        </w:rPr>
        <w:t>Fixed Incremental Amount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036955"/>
                <wp:effectExtent l="0" t="0" r="0" b="0"/>
                <wp:wrapNone/>
                <wp:docPr id="208" name="Frame20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40" w:before="0" w:after="240"/>
        <w:ind w:left="0" w:right="0" w:firstLine="720"/>
        <w:jc w:val="both"/>
        <w:rPr/>
      </w:pPr>
      <w:bookmarkStart w:id="200" w:name="i37c774c5b3e54e1280a457b41b06dd1f"/>
      <w:bookmarkEnd w:id="200"/>
      <w:r>
        <w:rPr>
          <w:rFonts w:ascii="Times New Roman;serif" w:hAnsi="Times New Roman;serif"/>
          <w:b w:val="false"/>
          <w:color w:val="000000"/>
          <w:sz w:val="22"/>
        </w:rPr>
        <w:t>(C)an unlimited amount (the “</w:t>
      </w:r>
      <w:r>
        <w:rPr>
          <w:rFonts w:ascii="Times New Roman;serif" w:hAnsi="Times New Roman;serif"/>
          <w:b w:val="false"/>
          <w:color w:val="000000"/>
          <w:sz w:val="22"/>
          <w:u w:val="single"/>
        </w:rPr>
        <w:t>Incurrence-Based Incremental Amount</w:t>
      </w:r>
      <w:r>
        <w:rPr>
          <w:color w:val="000000"/>
        </w:rPr>
        <w:t xml:space="preserve">” </w:t>
      </w:r>
      <w:r>
        <w:rPr>
          <w:rFonts w:ascii="Times New Roman;serif" w:hAnsi="Times New Roman;serif"/>
          <w:b w:val="false"/>
          <w:color w:val="000000"/>
          <w:sz w:val="22"/>
        </w:rPr>
        <w:t>and together with the Fixed Incremental Amount, collectively, the “</w:t>
      </w:r>
      <w:r>
        <w:rPr>
          <w:rFonts w:ascii="Times New Roman;serif" w:hAnsi="Times New Roman;serif"/>
          <w:b w:val="false"/>
          <w:color w:val="000000"/>
          <w:sz w:val="22"/>
          <w:u w:val="single"/>
        </w:rPr>
        <w:t>Available Incremental Amount</w:t>
      </w:r>
      <w:r>
        <w:rPr>
          <w:color w:val="000000"/>
        </w:rPr>
        <w:t>”</w:t>
      </w:r>
      <w:r>
        <w:rPr>
          <w:rFonts w:ascii="Times New Roman;serif" w:hAnsi="Times New Roman;serif"/>
          <w:b w:val="false"/>
          <w:color w:val="000000"/>
          <w:sz w:val="22"/>
        </w:rPr>
        <w:t xml:space="preserve">) so long as, (I) in the case of any Incremental Facility or Incremental Equivalent Debt secured by Liens on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Liens securing the Term A Loan, the Consolidated First Lien Net Leverage Ratio as of the most recently ended Test Period is less than 2.50:1.00, (II) in the case of any Incremental Commitment or Incremental Equivalent Debt secured by Liens on the Collateral on a junior basis to the Liens securing the Term A Loan, the Consolidated Secured Net Leverage Ratio as of the most recently ended Test Period is less than 3.00:1.00 and (III) in the case of any Incremental Facility or Incremental Equivalent Debt that is unsecured, the Consolidated Total Net Leverage Ratio is less than 3.50:1.00, in each case of the foregoing </w:t>
      </w:r>
      <w:r>
        <w:rPr>
          <w:rFonts w:ascii="Times New Roman;serif" w:hAnsi="Times New Roman;serif"/>
          <w:b w:val="false"/>
          <w:color w:val="000000"/>
          <w:sz w:val="22"/>
          <w:u w:val="single"/>
        </w:rPr>
        <w:t>subclauses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calculated on a pro forma basis after giving effect to the incurrence of such Incremental Facility or Incremental Equivalent Debt, as applicable (and assuming the aggregate amount of all such Incremental Revolving Commitments and Incremental Equivalent Debt in the form of revolving Indebtedness have been fully funded) and the use of the proceeds thereof, but without netting the cash proceeds of any such Incremental Facility or Incremental Equivalent Debt (but excluding, for purposes of calculating the Consolidated First Lien Net Leverage Ratio, the Consolidated Secured Net Leverage Ratio or the Consolidated Total Net Leverage Ratio, as applicable, under this clause (i)(C), any Indebtedness incurred pursuant to clause (i)(A) hereof, substantially concurrently or as part of the same transaction or series of related transactions);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case of an Incremental Term Facility or Incremental Equivalent Debt incurred to finance a Limited Condition Acquisition, compliance with the foregoing leverage ratios may be determined, at the option of the Borrower, as of the LCA Test Date pursuant to </w:t>
      </w:r>
      <w:r>
        <w:rPr>
          <w:rFonts w:ascii="Times New Roman;serif" w:hAnsi="Times New Roman;serif"/>
          <w:b w:val="false"/>
          <w:color w:val="000000"/>
          <w:sz w:val="22"/>
          <w:u w:val="single"/>
        </w:rPr>
        <w:t>Section 1.7</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1" w:name="icbe81094d1d349548b7b3340efe01a41"/>
      <w:bookmarkEnd w:id="201"/>
      <w:r>
        <w:rPr>
          <w:rFonts w:ascii="Times New Roman;serif" w:hAnsi="Times New Roman;serif"/>
          <w:b w:val="false"/>
          <w:color w:val="000000"/>
          <w:sz w:val="22"/>
        </w:rPr>
        <w:t xml:space="preserve">(ii)the Borrower shall execute and deliver such documents and instruments and take such other actions as may be reasonably required by the Administrative Agent in connection with and at the time of any such proposed increase; </w:t>
      </w:r>
    </w:p>
    <w:p>
      <w:pPr>
        <w:pStyle w:val="TextBody"/>
        <w:bidi w:val="0"/>
        <w:spacing w:lineRule="auto" w:line="240" w:before="0" w:after="240"/>
        <w:ind w:left="0" w:right="0" w:firstLine="1440"/>
        <w:jc w:val="both"/>
        <w:rPr/>
      </w:pPr>
      <w:bookmarkStart w:id="202" w:name="iac6b3d431a744569ac7bf5e4b374dd6b"/>
      <w:bookmarkEnd w:id="202"/>
      <w:r>
        <w:rPr>
          <w:rFonts w:ascii="Times New Roman;serif" w:hAnsi="Times New Roman;serif"/>
          <w:b w:val="false"/>
          <w:color w:val="000000"/>
          <w:sz w:val="22"/>
        </w:rPr>
        <w:t xml:space="preserve">(iii)at the time of and immediately after giving effect to any such proposed increase, no Event of Default shall exist;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makes an LCA Election pursuant to </w:t>
      </w:r>
      <w:r>
        <w:rPr>
          <w:rFonts w:ascii="Times New Roman;serif" w:hAnsi="Times New Roman;serif"/>
          <w:b w:val="false"/>
          <w:color w:val="000000"/>
          <w:sz w:val="22"/>
          <w:u w:val="single"/>
        </w:rPr>
        <w:t>Section 1.7</w:t>
      </w:r>
      <w:r>
        <w:rPr>
          <w:color w:val="000000"/>
        </w:rPr>
        <w:t xml:space="preserve"> </w:t>
      </w:r>
      <w:r>
        <w:rPr>
          <w:rFonts w:ascii="Times New Roman;serif" w:hAnsi="Times New Roman;serif"/>
          <w:b w:val="false"/>
          <w:color w:val="000000"/>
          <w:sz w:val="22"/>
        </w:rPr>
        <w:t>and such condition is tested as of the applicable LCA Test Date, it shall also be a condition that no Specified Event of Default shall have occurred and be continuing or would result from the incurrence of such Incremental Term Facility and the transactions consummated in connection therewith (including the use proceeds thereof) on the date on which such Incremental Term Facility is funded and the applicable Limited Condition Acquisition is consummated;</w:t>
      </w:r>
    </w:p>
    <w:p>
      <w:pPr>
        <w:pStyle w:val="TextBody"/>
        <w:bidi w:val="0"/>
        <w:spacing w:lineRule="auto" w:line="240" w:before="0" w:after="240"/>
        <w:ind w:left="0" w:right="0" w:firstLine="1440"/>
        <w:jc w:val="both"/>
        <w:rPr/>
      </w:pPr>
      <w:bookmarkStart w:id="203" w:name="i01062c60cf0f4cf6bd2348d44e02da92"/>
      <w:bookmarkEnd w:id="203"/>
      <w:r>
        <w:rPr>
          <w:rFonts w:ascii="Times New Roman;serif" w:hAnsi="Times New Roman;serif"/>
          <w:b w:val="false"/>
          <w:color w:val="000000"/>
          <w:sz w:val="22"/>
        </w:rPr>
        <w:t>(iv)(x) any incremental Term Loans made pursuant to this Section (the “</w:t>
      </w:r>
      <w:r>
        <w:rPr>
          <w:rFonts w:ascii="Times New Roman;serif" w:hAnsi="Times New Roman;serif"/>
          <w:b w:val="false"/>
          <w:color w:val="000000"/>
          <w:sz w:val="22"/>
          <w:u w:val="single"/>
        </w:rPr>
        <w:t>Incremental Term Loans</w:t>
      </w:r>
      <w:r>
        <w:rPr>
          <w:color w:val="000000"/>
        </w:rPr>
        <w:t>”</w:t>
      </w:r>
      <w:r>
        <w:rPr>
          <w:rFonts w:ascii="Times New Roman;serif" w:hAnsi="Times New Roman;serif"/>
          <w:b w:val="false"/>
          <w:color w:val="000000"/>
          <w:sz w:val="22"/>
        </w:rPr>
        <w:t xml:space="preserve">) shall have a maturity date no earlier than the latest Maturity Date of any Term Loans outstanding (or no earlier than ninety-one (91) days after the latest Maturity Date of any Term Loans outstanding in the case of Incremental Term Loans that are unsecured or secured on a junior basis to the Term A Loan) and shall have a Weighted Average Life to Maturity no shorter than that of any Term Loans outstanding (disregarding for this purpose prepayments and amortization payments made thereon) (provided that the restrictions in this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shall not apply to customary bridge facilities (so long as the long-term Indebtedness into which any customary bridge facility is to be converted satisfies such requirement)), and (y) any Incremental Revolving Commitments provided pursuant to this Section shall have terms that are identical to the existing Revolving Commitments (other than the amount thereof and upfront fees payable in connection therewith) and the Revolving Loans (except to the extent such differing terms (which shall be more favorable to the existing Revolving Lenders as determined in good faith by the Administrative Agent) are conformed in (or added to) this Agreement for the benefit of the existing Revolving Commitments pursuant to an amendment hereto (and no consent of any existing Lender shall be required in connection with any such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036955"/>
                <wp:effectExtent l="0" t="0" r="0" b="0"/>
                <wp:wrapNone/>
                <wp:docPr id="209" name="Frame20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40" w:before="0" w:after="240"/>
        <w:ind w:left="0" w:right="0" w:firstLine="1440"/>
        <w:jc w:val="both"/>
        <w:rPr/>
      </w:pPr>
      <w:bookmarkStart w:id="204" w:name="iede18bc543cd46bdbe01395a4fbeb635"/>
      <w:bookmarkEnd w:id="204"/>
      <w:r>
        <w:rPr>
          <w:rFonts w:ascii="Times New Roman;serif" w:hAnsi="Times New Roman;serif"/>
          <w:b w:val="false"/>
          <w:color w:val="000000"/>
          <w:sz w:val="22"/>
        </w:rPr>
        <w:t xml:space="preserve">(v)(x) any Incremental Term Facility that is secured by a Lien on the Collateral on a </w:t>
      </w:r>
      <w:r>
        <w:rPr>
          <w:rFonts w:ascii="Times New Roman;serif" w:hAnsi="Times New Roman;serif"/>
          <w:b w:val="false"/>
          <w:i/>
          <w:color w:val="000000"/>
          <w:sz w:val="22"/>
        </w:rPr>
        <w:t xml:space="preserve">pari passu </w:t>
      </w:r>
      <w:r>
        <w:rPr>
          <w:rFonts w:ascii="Times New Roman;serif" w:hAnsi="Times New Roman;serif"/>
          <w:b w:val="false"/>
          <w:color w:val="000000"/>
          <w:sz w:val="22"/>
        </w:rPr>
        <w:t>basis with the Term A Loan shall share ratably in all voluntary and mandatory prepayments of the then-existing Loans (other than in connection with a permitted refinancing of a particular Class or Classes of Incremental Term Loans) unless the Lenders providing such Incremental Term Facility elect to receive a lesser share of any such prepayment and (y) any Incremental Term Facility that is unsecured or secured by a Lien on the Collateral on a junior basis to the Term A Loan shall share on a less-than-ratable basis in all voluntary and mandatory prepayments of the then-existing Loans (other than in connection with a permitted refinancing of a particular Class or Classes of Incremental Term Loans);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5" w:name="idba4494caafd4fbebfaf19d95fae6256"/>
      <w:bookmarkEnd w:id="205"/>
      <w:r>
        <w:rPr>
          <w:rFonts w:ascii="Times New Roman;serif" w:hAnsi="Times New Roman;serif"/>
          <w:b w:val="false"/>
          <w:color w:val="000000"/>
          <w:sz w:val="22"/>
        </w:rPr>
        <w:t>(vi)no Incremental Facility shall be (x) secured by a Lien on any asset of the Borrower or any of its Subsidiaries that does not also secure the other then-outstanding Obligations or (y) guaranteed by any Person other than the Guarantors; and</w:t>
      </w:r>
    </w:p>
    <w:p>
      <w:pPr>
        <w:pStyle w:val="TextBody"/>
        <w:bidi w:val="0"/>
        <w:spacing w:lineRule="auto" w:line="240" w:before="0" w:after="240"/>
        <w:ind w:left="0" w:right="0" w:firstLine="1440"/>
        <w:jc w:val="both"/>
        <w:rPr/>
      </w:pPr>
      <w:bookmarkStart w:id="206" w:name="i6a09686680804758aad3d94b1e9f7aa1"/>
      <w:bookmarkEnd w:id="206"/>
      <w:r>
        <w:rPr>
          <w:rFonts w:ascii="Times New Roman;serif" w:hAnsi="Times New Roman;serif"/>
          <w:b w:val="false"/>
          <w:color w:val="000000"/>
          <w:sz w:val="22"/>
        </w:rPr>
        <w:t xml:space="preserve">(vii)except as otherwise required in preceding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(vi)</w:t>
      </w:r>
      <w:r>
        <w:rPr>
          <w:rFonts w:ascii="Times New Roman;serif" w:hAnsi="Times New Roman;serif"/>
          <w:b w:val="false"/>
          <w:color w:val="000000"/>
          <w:sz w:val="22"/>
        </w:rPr>
        <w:t xml:space="preserve">, all other terms and conditions with respect to any such Incremental Term Facility shall be as agreed between the Borrower and the Lenders providing such Incremental Term Facility; provided, the terms of any Incremental Term Facility (other than with respect to pricing, margin, maturity, optional prepayment terms and/or fees or as otherwise contemplated by any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(vi)</w:t>
      </w:r>
      <w:r>
        <w:rPr>
          <w:color w:val="000000"/>
        </w:rPr>
        <w:t xml:space="preserve"> </w:t>
      </w:r>
      <w:r>
        <w:rPr>
          <w:rFonts w:ascii="Times New Roman;serif" w:hAnsi="Times New Roman;serif"/>
          <w:b w:val="false"/>
          <w:color w:val="000000"/>
          <w:sz w:val="22"/>
        </w:rPr>
        <w:t xml:space="preserve">above) shall not be materially more favorable (taken as a whole) to the Lenders providing such Incremental Term Facility than as are applicable to the-then existing Term Loans and Revolving Commitments, as reasonably determined by the Borrower in good faith (except to the extent such terms are reasonably acceptable to the Administrative Agent or are conformed in (or added to) this Agreement for the benefit of the-then existing Term Loans and/or Revolving Commitments pursuant to an amendment hereto (and no consent of any existing Lender shall be required in connection with any such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however, that the All-In Yield applicable to such Incremental Term Facility that is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basis with the Liens securing the Term A Loan shall not be greater than the applicable All-In Yield payable with respect to then-outstanding Term A Loan pursuant to the terms of this Agreement, as amended through the date of such calculation, plus fifty (50) basis points per annum unless the interest rate (together with, as provided in the proviso below, the SOFR or Base Rate floor) with respect to the then-outstanding Term A Loans is increased so as to cause the then applicable All-In Yield under this Agreement on each outstanding Class of Term A Loans to equal the All-In Yield then applicable to the Incremental Term Facility minus fifty (50) basis points (this proviso, the “</w:t>
      </w:r>
      <w:r>
        <w:rPr>
          <w:rFonts w:ascii="Times New Roman;serif" w:hAnsi="Times New Roman;serif"/>
          <w:b w:val="false"/>
          <w:color w:val="000000"/>
          <w:sz w:val="22"/>
          <w:u w:val="single"/>
        </w:rPr>
        <w:t>MFN Protection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provided further </w:t>
      </w:r>
      <w:r>
        <w:rPr>
          <w:rFonts w:ascii="Times New Roman;serif" w:hAnsi="Times New Roman;serif"/>
          <w:b w:val="false"/>
          <w:color w:val="000000"/>
          <w:sz w:val="22"/>
        </w:rPr>
        <w:t xml:space="preserve">that, that any increase in All-In Yield to any existing Term A Loan due to the application of a SOFR or Base Rate floor on any such Incremental Term Facility greater than the SOFR or Base Rate floor applicable to the Term A Loan shall be effected solely through an increase in (or implementation of, as applicable) the SOFR or Base Rate floor applicable to such existing Term A Loan. </w:t>
      </w:r>
    </w:p>
    <w:p>
      <w:pPr>
        <w:pStyle w:val="TextBody"/>
        <w:bidi w:val="0"/>
        <w:spacing w:lineRule="auto" w:line="240" w:before="0" w:after="240"/>
        <w:ind w:left="0" w:right="0" w:firstLine="1440"/>
        <w:jc w:val="both"/>
        <w:rPr/>
      </w:pPr>
      <w:bookmarkStart w:id="207" w:name="i0b21de9a177a4f50a072d5e76018ca46"/>
      <w:bookmarkEnd w:id="207"/>
      <w:r>
        <w:rPr>
          <w:rFonts w:ascii="Times New Roman;serif" w:hAnsi="Times New Roman;serif"/>
          <w:b w:val="false"/>
          <w:color w:val="000000"/>
          <w:sz w:val="22"/>
        </w:rPr>
        <w:t>(b)</w:t>
      </w:r>
      <w:r>
        <w:rPr>
          <w:rFonts w:ascii="Times New Roman;serif" w:hAnsi="Times New Roman;serif"/>
          <w:b w:val="false"/>
          <w:color w:val="000000"/>
          <w:sz w:val="22"/>
        </w:rPr>
        <w:t>The Borrower shall provide at least 15 Business Days’ (or such shorter period of time as may be agreed by the Administrative Agent in its reasonable discretion) written notice to the Administrative Agent (who shall promptly provide a copy of such notice to each Lender) of any proposal to establish an Incremental Commitment. The Borrower may also, but is not required to, specify any fees offered to those Lenders (the “</w:t>
      </w:r>
      <w:r>
        <w:rPr>
          <w:rFonts w:ascii="Times New Roman;serif" w:hAnsi="Times New Roman;serif"/>
          <w:b w:val="false"/>
          <w:color w:val="000000"/>
          <w:sz w:val="22"/>
          <w:u w:val="single"/>
        </w:rPr>
        <w:t>Increasing Lenders</w:t>
      </w:r>
      <w:r>
        <w:rPr>
          <w:color w:val="000000"/>
        </w:rPr>
        <w:t>”</w:t>
      </w:r>
      <w:r>
        <w:rPr>
          <w:rFonts w:ascii="Times New Roman;serif" w:hAnsi="Times New Roman;serif"/>
          <w:b w:val="false"/>
          <w:color w:val="000000"/>
          <w:sz w:val="22"/>
        </w:rPr>
        <w:t xml:space="preserve">) that agree to increase the principal amount of their Revolving Commitments and/or provide Incremental Term Loan Commitments, which fees may be variable based upon the amount by which any such Lender is willing to increase the principal amount of its Revolving Commitment and/or provide Incremental Term Loan Commitment, as applicable. Each Increasing Lender shall as soon as practicable, and in any case within 10 Business Days following receipt of such notice, specify in a written notice to the Borrower and the Administrative Agent the amount of such proposed Incremental Commitment that it is willing to provide. No Lender (or any successor thereto) shall have any obligation, express or implied, to offer to increase the aggregate principal amount of its Revolving Commitment and/or provide any Incremental Term Loan Commitment, and any decision by a Lender to increase its Revolving Commitment and/or provide any Incremental Term Loan Commitment shall be made in its sole discretion independently from any other Lender. Only the consent of each Increasing Lender shall be required for an increase in the aggregate principal amount of the Revolving Commitments and/or provision of Incremental Term Loan Commitments, as applicable, pursuant to this Section. No Lender which declines to increase the principal amount of its Revolving Commitment and/or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036955"/>
                <wp:effectExtent l="0" t="0" r="0" b="0"/>
                <wp:wrapNone/>
                <wp:docPr id="210" name="Frame20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provide any Incremental Term Loan Commitment may be replaced with respect to its existing Revolving Commitment and/or its Term Loans, as applicable, as a result thereof without such Lender’s consent. If any Lender shall fail to notify the Borrower and the Administrative Agent in writing about whether it will increase its Revolving Commitment and/or provide Term Loan Commitments within 10 Business Days after receipt of such notice, such Lender shall be deemed to have declined the request. The Borrower may in its sole discretion accept some or all of the offered amounts, reject the offered amounts entirely (in which case the proposed Incremental Commitment shall be deemed withdrawn and of no force or effect) or designate new lenders that are acceptable to the Administrative Agent (such approval not to be unreasonably withheld, conditioned or delayed) and otherwise permitted under </w:t>
      </w:r>
      <w:r>
        <w:rPr>
          <w:rFonts w:ascii="Times New Roman;serif" w:hAnsi="Times New Roman;serif"/>
          <w:b w:val="false"/>
          <w:color w:val="000000"/>
          <w:sz w:val="22"/>
          <w:u w:val="single"/>
        </w:rPr>
        <w:t>Section 10.4(b)</w:t>
      </w:r>
      <w:r>
        <w:rPr>
          <w:color w:val="000000"/>
        </w:rPr>
        <w:t xml:space="preserve"> </w:t>
      </w:r>
      <w:r>
        <w:rPr>
          <w:rFonts w:ascii="Times New Roman;serif" w:hAnsi="Times New Roman;serif"/>
          <w:b w:val="false"/>
          <w:color w:val="000000"/>
          <w:sz w:val="22"/>
        </w:rPr>
        <w:t>as additional Lenders hereunder in accordance with this Section (the “</w:t>
      </w:r>
      <w:r>
        <w:rPr>
          <w:rFonts w:ascii="Times New Roman;serif" w:hAnsi="Times New Roman;serif"/>
          <w:b w:val="false"/>
          <w:color w:val="000000"/>
          <w:sz w:val="22"/>
          <w:u w:val="single"/>
        </w:rPr>
        <w:t>Additional Lenders</w:t>
      </w:r>
      <w:r>
        <w:rPr>
          <w:color w:val="000000"/>
        </w:rPr>
        <w:t>”</w:t>
      </w:r>
      <w:r>
        <w:rPr>
          <w:rFonts w:ascii="Times New Roman;serif" w:hAnsi="Times New Roman;serif"/>
          <w:b w:val="false"/>
          <w:color w:val="000000"/>
          <w:sz w:val="22"/>
        </w:rPr>
        <w:t xml:space="preserve">), which Additional Lenders may assume all or a portion of such Incremental Commitment. The Borrower and the Administrative Agent shall have discretion jointly to adjust the allocation of such Incremental Revolving Commitments and/or such Incremental Term Loans among the Increasing Lenders and the Additional Lenders. </w:t>
      </w:r>
    </w:p>
    <w:p>
      <w:pPr>
        <w:pStyle w:val="TextBody"/>
        <w:bidi w:val="0"/>
        <w:spacing w:lineRule="auto" w:line="240" w:before="0" w:after="240"/>
        <w:ind w:left="0" w:right="0" w:firstLine="1440"/>
        <w:jc w:val="both"/>
        <w:rPr/>
      </w:pPr>
      <w:bookmarkStart w:id="208" w:name="i090ae59f4a3547229c78b58719964f1f"/>
      <w:bookmarkEnd w:id="208"/>
      <w:r>
        <w:rPr>
          <w:rFonts w:ascii="Times New Roman;serif" w:hAnsi="Times New Roman;serif"/>
          <w:b w:val="false"/>
          <w:color w:val="000000"/>
          <w:sz w:val="22"/>
        </w:rPr>
        <w:t>(c)</w:t>
      </w:r>
      <w:r>
        <w:rPr>
          <w:rFonts w:ascii="Times New Roman;serif" w:hAnsi="Times New Roman;serif"/>
          <w:b w:val="false"/>
          <w:color w:val="000000"/>
          <w:sz w:val="22"/>
        </w:rPr>
        <w:t>Subject to subsections (a) and (b) of this Section, any Incremental Facility requested by the Borrower shall be effective upon delivery to the Administrative Agent of each of the following documents:</w:t>
      </w:r>
    </w:p>
    <w:p>
      <w:pPr>
        <w:pStyle w:val="TextBody"/>
        <w:bidi w:val="0"/>
        <w:spacing w:lineRule="auto" w:line="240" w:before="0" w:after="240"/>
        <w:ind w:left="0" w:right="0" w:firstLine="1440"/>
        <w:jc w:val="both"/>
        <w:rPr/>
      </w:pPr>
      <w:bookmarkStart w:id="209" w:name="i056b819fb6a7455c826faac15c738e08"/>
      <w:bookmarkEnd w:id="209"/>
      <w:r>
        <w:rPr>
          <w:rFonts w:ascii="Times New Roman;serif" w:hAnsi="Times New Roman;serif"/>
          <w:b w:val="false"/>
          <w:color w:val="000000"/>
          <w:sz w:val="22"/>
        </w:rPr>
        <w:t>(i)an originally executed copy of an instrument of joinder (each, an “</w:t>
      </w:r>
      <w:r>
        <w:rPr>
          <w:rFonts w:ascii="Times New Roman;serif" w:hAnsi="Times New Roman;serif"/>
          <w:b w:val="false"/>
          <w:color w:val="000000"/>
          <w:sz w:val="22"/>
          <w:u w:val="single"/>
        </w:rPr>
        <w:t>Incremental Commitment Joinder</w:t>
      </w:r>
      <w:r>
        <w:rPr>
          <w:color w:val="000000"/>
        </w:rPr>
        <w:t>”</w:t>
      </w:r>
      <w:r>
        <w:rPr>
          <w:rFonts w:ascii="Times New Roman;serif" w:hAnsi="Times New Roman;serif"/>
          <w:b w:val="false"/>
          <w:color w:val="000000"/>
          <w:sz w:val="22"/>
        </w:rPr>
        <w:t>), in form and substance reasonably acceptable to the Administrative Agent, executed by the Borrower, by each Additional Lender and by each Increasing Lender, setting forth the Incremental Commitments of such Lenders and setting forth the agreement of each Additional Lender to become a party to this Agreement and to be bound by all of the terms and provisions hereof;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0" w:name="ie256e6c38d4a4ed48265391410aede17"/>
      <w:bookmarkEnd w:id="210"/>
      <w:r>
        <w:rPr>
          <w:rFonts w:ascii="Times New Roman;serif" w:hAnsi="Times New Roman;serif"/>
          <w:b w:val="false"/>
          <w:color w:val="000000"/>
          <w:sz w:val="22"/>
        </w:rPr>
        <w:t>(ii)such evidence of appropriate corporate authorization on the part of the Borrower with respect to such Incremental Commitment and such opinions of counsel for the Borrower with respect to such Incremental Commitment as the Administrative Agent may reasonably request;</w:t>
      </w:r>
    </w:p>
    <w:p>
      <w:pPr>
        <w:pStyle w:val="TextBody"/>
        <w:bidi w:val="0"/>
        <w:spacing w:lineRule="auto" w:line="240" w:before="0" w:after="240"/>
        <w:ind w:left="0" w:right="0" w:firstLine="1440"/>
        <w:jc w:val="both"/>
        <w:rPr/>
      </w:pPr>
      <w:bookmarkStart w:id="211" w:name="id70178627d4c4020ae42e606c0738942"/>
      <w:bookmarkEnd w:id="211"/>
      <w:r>
        <w:rPr>
          <w:rFonts w:ascii="Times New Roman;serif" w:hAnsi="Times New Roman;serif"/>
          <w:b w:val="false"/>
          <w:color w:val="000000"/>
          <w:sz w:val="22"/>
        </w:rPr>
        <w:t xml:space="preserve">(iii)a certificate of the Borrower signed by a Responsible Officer, in form and substance reasonably acceptable to the Administrative Agent, certifying that each of the conditions in subsection (a) of this Section has been satisfied and each of the conditions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have been satisfied;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 Incremental Term Facility used to finance a Limited Condition Acquisition, the conditions set forth in subsection (a) of this Section that are tested as of the applicable LCA Test Date shall be certified in the applicable LCA Election Certificate instead of the certificate delivered pursuant to this subsection (iii);</w:t>
      </w:r>
    </w:p>
    <w:p>
      <w:pPr>
        <w:pStyle w:val="TextBody"/>
        <w:bidi w:val="0"/>
        <w:spacing w:lineRule="auto" w:line="240" w:before="0" w:after="240"/>
        <w:ind w:left="0" w:right="0" w:firstLine="1440"/>
        <w:jc w:val="both"/>
        <w:rPr/>
      </w:pPr>
      <w:bookmarkStart w:id="212" w:name="i4e2054a806ec476f93496fe36168f93b"/>
      <w:bookmarkEnd w:id="212"/>
      <w:r>
        <w:rPr>
          <w:rFonts w:ascii="Times New Roman;serif" w:hAnsi="Times New Roman;serif"/>
          <w:b w:val="false"/>
          <w:color w:val="000000"/>
          <w:sz w:val="22"/>
        </w:rPr>
        <w:t xml:space="preserve">(iv)to the extent requested by any Additional Lender or any Increasing Lender, executed promissory notes evidencing such Incremental Revolving Commitments and/or such Incremental Term Loans, issued by the Borrower in accordance with </w:t>
      </w:r>
      <w:r>
        <w:rPr>
          <w:rFonts w:ascii="Times New Roman;serif" w:hAnsi="Times New Roman;serif"/>
          <w:b w:val="false"/>
          <w:color w:val="000000"/>
          <w:sz w:val="22"/>
          <w:u w:val="single"/>
        </w:rPr>
        <w:t>Section 2.10</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3" w:name="ice74c18feb3e48a685e697c940ba40cf"/>
      <w:bookmarkEnd w:id="213"/>
      <w:r>
        <w:rPr>
          <w:rFonts w:ascii="Times New Roman;serif" w:hAnsi="Times New Roman;serif"/>
          <w:b w:val="false"/>
          <w:color w:val="000000"/>
          <w:sz w:val="22"/>
        </w:rPr>
        <w:t>(v)any other certificates or documents that the Administrative Agent shall reasonably request, in form and substance reasonably satisfactory to the Administrative Agent.</w:t>
      </w:r>
    </w:p>
    <w:p>
      <w:pPr>
        <w:pStyle w:val="TextBody"/>
        <w:bidi w:val="0"/>
        <w:spacing w:lineRule="auto" w:line="288" w:before="0" w:after="240"/>
        <w:jc w:val="both"/>
        <w:rPr/>
      </w:pPr>
      <w:r>
        <w:rPr>
          <w:rFonts w:ascii="Times New Roman;serif" w:hAnsi="Times New Roman;serif"/>
          <w:b w:val="false"/>
          <w:color w:val="000000"/>
          <w:sz w:val="22"/>
        </w:rPr>
        <w:t xml:space="preserve">Upon the effectiveness of any such Incremental Facility, the Commitments and Pro Rata Share of each Lender will be adjusted to give effect to the Incremental Revolving Commitments and/or the Incremental Term Loans, as applicable, and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shall automatically be deemed amended accordingly.</w:t>
      </w:r>
    </w:p>
    <w:p>
      <w:pPr>
        <w:pStyle w:val="TextBody"/>
        <w:bidi w:val="0"/>
        <w:spacing w:lineRule="auto" w:line="240" w:before="0" w:after="240"/>
        <w:ind w:left="0" w:right="0" w:firstLine="1440"/>
        <w:jc w:val="both"/>
        <w:rPr/>
      </w:pPr>
      <w:bookmarkStart w:id="214" w:name="i4428e5fba5074581a07411eabb678fcf"/>
      <w:bookmarkEnd w:id="214"/>
      <w:r>
        <w:rPr>
          <w:rFonts w:ascii="Times New Roman;serif" w:hAnsi="Times New Roman;serif"/>
          <w:b w:val="false"/>
          <w:color w:val="000000"/>
          <w:sz w:val="22"/>
        </w:rPr>
        <w:t>(d)</w:t>
      </w:r>
      <w:r>
        <w:rPr>
          <w:rFonts w:ascii="Times New Roman;serif" w:hAnsi="Times New Roman;serif"/>
          <w:b w:val="false"/>
          <w:color w:val="000000"/>
          <w:sz w:val="22"/>
        </w:rPr>
        <w:t xml:space="preserve">If any Incremental Term Loan Commitments are to be established pursuant to this Section, other than as set forth herein, all terms with respect thereto shall be as set forth in the applicable Incremental Commitment Joinder, the execution and delivery of which agreement shall be a condition to the effectiveness of the establishment of the Incremental Term Loan Commitments. If the Borrower incurs Incremental Revolving Commitments under this Section, the Borrower shall, after such time, repay and incur Revolving Loans ratably as between the Incremental Revolving Commitments and the Revolving Commitments outstanding immediately prior to such incurrence.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036955"/>
                <wp:effectExtent l="0" t="0" r="0" b="0"/>
                <wp:wrapNone/>
                <wp:docPr id="211" name="Frame20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anything to the contrary in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the Administrative Agent is expressly permitted to amend the Loan Documents to the extent necessary to give effect to any Incremental Facility incurred pursuant to this Section and mechanical changes necessary or advisable in connection therewith (including amendments to implement the requirements in the foregoing </w:t>
      </w:r>
      <w:r>
        <w:rPr>
          <w:rFonts w:ascii="Times New Roman;serif" w:hAnsi="Times New Roman;serif"/>
          <w:b w:val="false"/>
          <w:color w:val="000000"/>
          <w:sz w:val="22"/>
          <w:u w:val="single"/>
        </w:rPr>
        <w:t>Section 2.23(a)(iv)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(viii)</w:t>
      </w:r>
      <w:r>
        <w:rPr>
          <w:color w:val="000000"/>
        </w:rPr>
        <w:t xml:space="preserve"> </w:t>
      </w:r>
      <w:r>
        <w:rPr>
          <w:rFonts w:ascii="Times New Roman;serif" w:hAnsi="Times New Roman;serif"/>
          <w:b w:val="false"/>
          <w:color w:val="000000"/>
          <w:sz w:val="22"/>
        </w:rPr>
        <w:t xml:space="preserve">or in this </w:t>
      </w:r>
      <w:r>
        <w:rPr>
          <w:rFonts w:ascii="Times New Roman;serif" w:hAnsi="Times New Roman;serif"/>
          <w:b w:val="false"/>
          <w:color w:val="000000"/>
          <w:sz w:val="22"/>
          <w:u w:val="single"/>
        </w:rPr>
        <w:t>Section 2.23(d)</w:t>
      </w:r>
      <w:r>
        <w:rPr>
          <w:rFonts w:ascii="Times New Roman;serif" w:hAnsi="Times New Roman;serif"/>
          <w:b w:val="false"/>
          <w:color w:val="000000"/>
          <w:sz w:val="22"/>
        </w:rPr>
        <w:t xml:space="preserve">, amendments to ensure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allocations of SOFR Loans and Base Rate Loans between Loans incurred pursuant to this Section and Loans outstanding immediately prior to any such incurrence and amendments to implement ratable participation in Letters of Credit between the Incremental Revolving Commitments and the Revolving Commitments outstanding immediately prior to any such incurrence).</w:t>
      </w:r>
    </w:p>
    <w:p>
      <w:pPr>
        <w:pStyle w:val="TextBody"/>
        <w:bidi w:val="0"/>
        <w:spacing w:lineRule="auto" w:line="240" w:before="0" w:after="240"/>
        <w:ind w:left="0" w:right="0" w:firstLine="1440"/>
        <w:jc w:val="both"/>
        <w:rPr/>
      </w:pPr>
      <w:bookmarkStart w:id="215" w:name="i27c0d2bf9fda4649940452ad413b4799"/>
      <w:bookmarkEnd w:id="215"/>
      <w:r>
        <w:rPr>
          <w:rFonts w:ascii="Times New Roman;serif" w:hAnsi="Times New Roman;serif"/>
          <w:b w:val="false"/>
          <w:color w:val="000000"/>
          <w:sz w:val="22"/>
        </w:rPr>
        <w:t>(e)</w:t>
      </w:r>
      <w:r>
        <w:rPr>
          <w:rFonts w:ascii="Times New Roman;serif" w:hAnsi="Times New Roman;serif"/>
          <w:b w:val="false"/>
          <w:color w:val="000000"/>
          <w:sz w:val="22"/>
        </w:rPr>
        <w:t>Unless otherwise elected by the Borrower, any Incremental Facility shall be deemed to be incurred under the Incurrence-Based Incremental Amount (to the extent there is capacity thereunder) prior to any such amounts being incurred under Fixed Incremental Amount (it being understood and agreed that, with respect to any Incremental Facility or any Incremental Equivalent Debt, no reclassification between the Incurrence-Based Incremental Amount and Fixed Incremental Amount shall be permitted).</w:t>
      </w:r>
      <w:r>
        <w:rPr>
          <w:color w:val="000000"/>
        </w:rPr>
        <w:t xml:space="preserve"> </w:t>
      </w:r>
    </w:p>
    <w:p>
      <w:pPr>
        <w:pStyle w:val="TextBody"/>
        <w:bidi w:val="0"/>
        <w:spacing w:lineRule="auto" w:line="240" w:before="0" w:after="240"/>
        <w:ind w:left="0" w:right="0" w:firstLine="1440"/>
        <w:jc w:val="both"/>
        <w:rPr/>
      </w:pPr>
      <w:bookmarkStart w:id="216" w:name="i80ba38fb01b14c938a262127bfc1ffa5"/>
      <w:bookmarkEnd w:id="216"/>
      <w:r>
        <w:rPr>
          <w:rFonts w:ascii="Times New Roman;serif" w:hAnsi="Times New Roman;serif"/>
          <w:b w:val="false"/>
          <w:color w:val="000000"/>
          <w:sz w:val="22"/>
        </w:rPr>
        <w:t>(f)</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2.23</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to the contrary.</w:t>
      </w:r>
    </w:p>
    <w:p>
      <w:pPr>
        <w:pStyle w:val="TextBody"/>
        <w:bidi w:val="0"/>
        <w:spacing w:lineRule="auto" w:line="240" w:before="0" w:after="0"/>
        <w:ind w:left="0" w:right="0" w:firstLine="720"/>
        <w:jc w:val="both"/>
        <w:rPr/>
      </w:pPr>
      <w:bookmarkStart w:id="217" w:name="i2712097674a64cf28c84e2a359bae1f0"/>
      <w:bookmarkEnd w:id="217"/>
      <w:r>
        <w:rPr>
          <w:rFonts w:ascii="Times New Roman;serif" w:hAnsi="Times New Roman;serif"/>
          <w:b/>
          <w:color w:val="000000"/>
          <w:sz w:val="22"/>
        </w:rPr>
        <w:t>Section 2.24</w:t>
      </w:r>
      <w:r>
        <w:rPr>
          <w:rFonts w:ascii="Times New Roman;serif" w:hAnsi="Times New Roman;serif"/>
          <w:b/>
          <w:color w:val="000000"/>
          <w:sz w:val="22"/>
          <w:u w:val="single"/>
        </w:rPr>
        <w:t>Mitigation of Obligations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or if the Borrower is required to pay any Indemnified Taxes or additional amount to any Lender or any Governmental Authority for the account of any Lender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under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2.20</w:t>
      </w:r>
      <w:r>
        <w:rPr>
          <w:rFonts w:ascii="Times New Roman;serif" w:hAnsi="Times New Roman;serif"/>
          <w:b w:val="false"/>
          <w:color w:val="000000"/>
          <w:sz w:val="22"/>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such designation or assignment.</w:t>
      </w:r>
    </w:p>
    <w:p>
      <w:pPr>
        <w:pStyle w:val="TextBody"/>
        <w:bidi w:val="0"/>
        <w:spacing w:lineRule="auto" w:line="240" w:before="0" w:after="0"/>
        <w:ind w:left="0" w:right="0" w:firstLine="720"/>
        <w:jc w:val="both"/>
        <w:rPr/>
      </w:pPr>
      <w:bookmarkStart w:id="218" w:name="i6d5b39f81a3c419985f2604d7aada189"/>
      <w:bookmarkEnd w:id="218"/>
      <w:r>
        <w:rPr>
          <w:rFonts w:ascii="Times New Roman;serif" w:hAnsi="Times New Roman;serif"/>
          <w:b/>
          <w:color w:val="000000"/>
          <w:sz w:val="22"/>
        </w:rPr>
        <w:t>Section 2.25</w:t>
      </w:r>
      <w:r>
        <w:rPr>
          <w:rFonts w:ascii="Times New Roman;serif" w:hAnsi="Times New Roman;serif"/>
          <w:b/>
          <w:color w:val="000000"/>
          <w:sz w:val="22"/>
          <w:u w:val="single"/>
        </w:rPr>
        <w:t>Replacement of Lenders</w:t>
      </w:r>
      <w:r>
        <w:rPr>
          <w:rFonts w:ascii="Times New Roman;serif" w:hAnsi="Times New Roman;serif"/>
          <w:b w:val="false"/>
          <w:color w:val="000000"/>
          <w:sz w:val="22"/>
        </w:rPr>
        <w:t xml:space="preserve">. If (a) any Lender requests compensation under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or if the Borrower is required to pay any Indemnified Taxes or additional amount to any Lender or any Governmental Authority for the account of any Lender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and, in each case, such Lender has declined or is unable to designate a different lending office in accordance with Section 2.24, (b) any Lender is a Defaulting Lender, or (c) in connection with any proposed amendment, modification, termination, waiver or consent with respect to any of the provisions hereof as contemplated by </w:t>
      </w:r>
      <w:r>
        <w:rPr>
          <w:rFonts w:ascii="Times New Roman;serif" w:hAnsi="Times New Roman;serif"/>
          <w:b w:val="false"/>
          <w:color w:val="000000"/>
          <w:sz w:val="22"/>
          <w:u w:val="single"/>
        </w:rPr>
        <w:t>Section 10.2(b)</w:t>
      </w:r>
      <w:r>
        <w:rPr>
          <w:rFonts w:ascii="Times New Roman;serif" w:hAnsi="Times New Roman;serif"/>
          <w:b w:val="false"/>
          <w:color w:val="000000"/>
          <w:sz w:val="22"/>
        </w:rPr>
        <w:t>, the consent of Required Lenders shall have been obtained but the consent of one or more of such other Lenders (each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whose consent is required shall not have been obtained, then the Borrower may, at its sole expense and effort, upon notice to such Lender and the Administrative Agent, require such Lender to assign and delegate, without recourse (in accordance with and subject to the restrictions set forth in </w:t>
      </w:r>
      <w:r>
        <w:rPr>
          <w:rFonts w:ascii="Times New Roman;serif" w:hAnsi="Times New Roman;serif"/>
          <w:b w:val="false"/>
          <w:color w:val="000000"/>
          <w:sz w:val="22"/>
          <w:u w:val="single"/>
        </w:rPr>
        <w:t>Section 10.4(b</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2.20</w:t>
      </w:r>
      <w:r>
        <w:rPr>
          <w:rFonts w:ascii="Times New Roman;serif" w:hAnsi="Times New Roman;serif"/>
          <w:b w:val="false"/>
          <w:color w:val="000000"/>
          <w:sz w:val="22"/>
        </w:rPr>
        <w:t>, as applicable) and obligations under this Agreement to an assignee that shall assume such obligations (which assignee may be another Lender) (a “</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Borrower shall have received the prior written consent of the Administrative Agent,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(iii) in the case of a claim for compensation under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such assignment will result in a reduction in such compensation or payments, and (iv) in the case of a Non-Consenting Lender, each Replacement Lender shall consent, at the time of such assignment, to each matter in respect of which such terminated Lender was a Non-Consenting Lender.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lineRule="auto" w:line="240" w:before="0" w:after="240"/>
        <w:ind w:left="0" w:right="0" w:firstLine="720"/>
        <w:jc w:val="both"/>
        <w:rPr/>
      </w:pPr>
      <w:bookmarkStart w:id="219" w:name="i7d0fc78cb80d4907abcf59ae6e1889f4"/>
      <w:bookmarkEnd w:id="219"/>
      <w:r>
        <w:rPr>
          <w:rFonts w:ascii="Times New Roman;serif" w:hAnsi="Times New Roman;serif"/>
          <w:b/>
          <w:color w:val="000000"/>
          <w:sz w:val="22"/>
        </w:rPr>
        <w:t>Section 2.26</w:t>
      </w:r>
      <w:r>
        <w:rPr>
          <w:rFonts w:ascii="Times New Roman;serif" w:hAnsi="Times New Roman;serif"/>
          <w:b/>
          <w:color w:val="000000"/>
          <w:sz w:val="22"/>
          <w:u w:val="single"/>
        </w:rPr>
        <w:t>Defaulting Lenders</w:t>
      </w:r>
      <w:r>
        <w:rPr>
          <w:rFonts w:ascii="Times New Roman;serif" w:hAnsi="Times New Roman;serif"/>
          <w:b/>
          <w:color w:val="000000"/>
          <w:sz w:val="22"/>
        </w:rPr>
        <w:t>.</w:t>
      </w:r>
    </w:p>
    <w:p>
      <w:pPr>
        <w:pStyle w:val="TextBody"/>
        <w:bidi w:val="0"/>
        <w:spacing w:lineRule="auto" w:line="240" w:before="0" w:after="240"/>
        <w:ind w:left="0" w:right="0" w:firstLine="1440"/>
        <w:jc w:val="both"/>
        <w:rPr/>
      </w:pPr>
      <w:bookmarkStart w:id="220" w:name="ie2a71340b0034525bc34a6919e7dce6f"/>
      <w:bookmarkEnd w:id="220"/>
      <w:r>
        <w:rPr>
          <w:rFonts w:ascii="Times New Roman;serif" w:hAnsi="Times New Roman;serif"/>
          <w:b w:val="false"/>
          <w:color w:val="000000"/>
          <w:sz w:val="22"/>
        </w:rPr>
        <w:t>(a)</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036955"/>
                <wp:effectExtent l="0" t="0" r="0" b="0"/>
                <wp:wrapNone/>
                <wp:docPr id="212" name="Frame21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40" w:before="0" w:after="240"/>
        <w:ind w:left="0" w:right="0" w:firstLine="1440"/>
        <w:jc w:val="both"/>
        <w:rPr/>
      </w:pPr>
      <w:bookmarkStart w:id="221" w:name="if33887ff9b7040a6991ebbc981a7daa1"/>
      <w:bookmarkEnd w:id="221"/>
      <w:r>
        <w:rPr>
          <w:rFonts w:ascii="Times New Roman;serif" w:hAnsi="Times New Roman;serif"/>
          <w:b w:val="false"/>
          <w:color w:val="000000"/>
          <w:sz w:val="22"/>
        </w:rPr>
        <w:t xml:space="preserve">(i)At any time that there shall exist a Defaulting Lender, within one Business Day following the written request of the Administrative Agent or the applicable Issuing Bank (with a copy to the Administrative Agent) the Borrower shall Cash Collateralize such Issuing Bank’s LC Exposure with respect to such Defaulting Lender (determined after giving effect to </w:t>
      </w:r>
      <w:r>
        <w:rPr>
          <w:rFonts w:ascii="Times New Roman;serif" w:hAnsi="Times New Roman;serif"/>
          <w:b w:val="false"/>
          <w:color w:val="000000"/>
          <w:sz w:val="22"/>
          <w:u w:val="single"/>
        </w:rPr>
        <w:t>Section 2.26(b)(iv)</w:t>
      </w:r>
      <w:r>
        <w:rPr>
          <w:color w:val="000000"/>
        </w:rPr>
        <w:t xml:space="preserve"> </w:t>
      </w:r>
      <w:r>
        <w:rPr>
          <w:rFonts w:ascii="Times New Roman;serif" w:hAnsi="Times New Roman;serif"/>
          <w:b w:val="false"/>
          <w:color w:val="000000"/>
          <w:sz w:val="22"/>
        </w:rPr>
        <w:t>and any Cash Collateral provided by such Defaulting Lender) in an amount not less than 103% of such Issuing Bank’s LC Exposure with respect to such Defaulting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2" w:name="ib60efc3d59fe49dc88ae7a48ce3f8d62"/>
      <w:bookmarkEnd w:id="222"/>
      <w:r>
        <w:rPr>
          <w:rFonts w:ascii="Times New Roman;serif" w:hAnsi="Times New Roman;serif"/>
          <w:b w:val="false"/>
          <w:color w:val="000000"/>
          <w:sz w:val="22"/>
        </w:rPr>
        <w:t>(ii)The Borrower, and to the extent provided by any Defaulting Lender, such Defaulting Lender, hereby grants to the Administrative Agent, for the benefit of each Issuing Bank, and agrees to maintain, a first priority security interest in all such Cash Collateral as security for the Defaulting Lenders’ obligation to fund participations in respect of Letters of Credit, to be applied pursuant to clause (iii) below. If at any time the Administrative Agent determines that Cash Collateral is subject to any right or claim of any Person other than the Administrative Agent and the applicable Issuing Bank as herein provided, or that the total amount of such Cash Collateral is less than the minimum amount required pursuant to clause (i) above,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40" w:before="0" w:after="240"/>
        <w:ind w:left="0" w:right="0" w:firstLine="1440"/>
        <w:jc w:val="both"/>
        <w:rPr/>
      </w:pPr>
      <w:bookmarkStart w:id="223" w:name="idd6a01ea05cb48439e0cc972524746a4"/>
      <w:bookmarkEnd w:id="223"/>
      <w:r>
        <w:rPr>
          <w:rFonts w:ascii="Times New Roman;serif" w:hAnsi="Times New Roman;serif"/>
          <w:b w:val="false"/>
          <w:color w:val="000000"/>
          <w:sz w:val="22"/>
        </w:rPr>
        <w:t xml:space="preserve">(iii)Notwithstanding anything to the contrary contained in this Agreement, Cash Collateral provided under this </w:t>
      </w:r>
      <w:r>
        <w:rPr>
          <w:rFonts w:ascii="Times New Roman;serif" w:hAnsi="Times New Roman;serif"/>
          <w:b w:val="false"/>
          <w:color w:val="000000"/>
          <w:sz w:val="22"/>
          <w:u w:val="single"/>
        </w:rPr>
        <w:t>Section 2.26(a)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 xml:space="preserve">Section 2.26(b) </w:t>
      </w:r>
      <w:r>
        <w:rPr>
          <w:rFonts w:ascii="Times New Roman;serif" w:hAnsi="Times New Roman;serif"/>
          <w:b w:val="false"/>
          <w:color w:val="000000"/>
          <w:sz w:val="22"/>
        </w:rPr>
        <w:t>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40" w:before="0" w:after="240"/>
        <w:ind w:left="0" w:right="0" w:firstLine="1440"/>
        <w:jc w:val="both"/>
        <w:rPr/>
      </w:pPr>
      <w:bookmarkStart w:id="224" w:name="i9fce88f39af34dfbb27ec98b82dfbf1d"/>
      <w:bookmarkEnd w:id="224"/>
      <w:r>
        <w:rPr>
          <w:rFonts w:ascii="Times New Roman;serif" w:hAnsi="Times New Roman;serif"/>
          <w:b w:val="false"/>
          <w:color w:val="000000"/>
          <w:sz w:val="22"/>
        </w:rPr>
        <w:t xml:space="preserve">(iv)Cash Collateral (or the appropriate portion thereof) provided to reduce any Issuing Bank’s LC Exposure shall no longer be required to be held as Cash Collateral pursuant to this </w:t>
      </w:r>
      <w:r>
        <w:rPr>
          <w:rFonts w:ascii="Times New Roman;serif" w:hAnsi="Times New Roman;serif"/>
          <w:b w:val="false"/>
          <w:color w:val="000000"/>
          <w:sz w:val="22"/>
          <w:u w:val="single"/>
        </w:rPr>
        <w:t>Section 2.26(a)</w:t>
      </w:r>
      <w:r>
        <w:rPr>
          <w:color w:val="000000"/>
        </w:rPr>
        <w:t xml:space="preserve"> </w:t>
      </w:r>
      <w:r>
        <w:rPr>
          <w:rFonts w:ascii="Times New Roman;serif" w:hAnsi="Times New Roman;serif"/>
          <w:b w:val="false"/>
          <w:color w:val="000000"/>
          <w:sz w:val="22"/>
        </w:rPr>
        <w:t xml:space="preserve">following (A) the elimination of the applicable LC Exposure (including by the termination of Defaulting Lender status of the applicable Lender), or (ii) the determination by the Administrative Agent and such Issuing Bank that there exists excess Cash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subject to </w:t>
      </w:r>
      <w:r>
        <w:rPr>
          <w:rFonts w:ascii="Times New Roman;serif" w:hAnsi="Times New Roman;serif"/>
          <w:b w:val="false"/>
          <w:color w:val="000000"/>
          <w:sz w:val="22"/>
          <w:u w:val="single"/>
        </w:rPr>
        <w:t>Section 2.26(b)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the Person providing Cash Collateral and the applicable Issuing Bank may agree that Cash Collateral shall be held to support future anticipated LC Exposure or other obligations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further that to the extent that such Cash Collateral was provided by the Borrower, such Cash Collateral shall remain subject to the security interest granted pursuant to the Loan Documents.</w:t>
      </w:r>
    </w:p>
    <w:p>
      <w:pPr>
        <w:pStyle w:val="TextBody"/>
        <w:bidi w:val="0"/>
        <w:spacing w:lineRule="auto" w:line="240" w:before="0" w:after="240"/>
        <w:ind w:left="0" w:right="0" w:firstLine="1440"/>
        <w:jc w:val="both"/>
        <w:rPr/>
      </w:pPr>
      <w:bookmarkStart w:id="225" w:name="ic11e2446532440c2a39a9e8804a92cb4"/>
      <w:bookmarkEnd w:id="225"/>
      <w:r>
        <w:rPr>
          <w:rFonts w:ascii="Times New Roman;serif" w:hAnsi="Times New Roman;serif"/>
          <w:b w:val="false"/>
          <w:color w:val="000000"/>
          <w:sz w:val="22"/>
        </w:rPr>
        <w:t>(b)</w:t>
      </w:r>
      <w:r>
        <w:rPr>
          <w:rFonts w:ascii="Times New Roman;serif" w:hAnsi="Times New Roman;serif"/>
          <w:b w:val="false"/>
          <w:color w:val="000000"/>
          <w:sz w:val="22"/>
          <w:u w:val="single"/>
        </w:rPr>
        <w:t>Defaulting Lender Adjustments</w:t>
      </w:r>
      <w:r>
        <w:rPr>
          <w:rFonts w:ascii="Times New Roman;serif" w:hAnsi="Times New Roman;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40" w:before="0" w:after="240"/>
        <w:ind w:left="0" w:right="0" w:firstLine="1440"/>
        <w:jc w:val="both"/>
        <w:rPr/>
      </w:pPr>
      <w:bookmarkStart w:id="226" w:name="i6ab8cd03a70c4067ac74c0bc34157c7b"/>
      <w:bookmarkEnd w:id="226"/>
      <w:r>
        <w:rPr>
          <w:rFonts w:ascii="Times New Roman;serif" w:hAnsi="Times New Roman;serif"/>
          <w:b w:val="false"/>
          <w:color w:val="000000"/>
          <w:sz w:val="22"/>
        </w:rPr>
        <w:t xml:space="preserve">(i)Such Defaulting Lender’s right to approve or disapprove any amendment, waiver or consent with respect to this Agreement shall be restricted as set forth in the definitions of Required Delayed Draw Term Loan Lenders, Required Lenders and Required Revolving Lenders and in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27" w:name="ice645434ad5946a88c258f0e8cc0de32"/>
      <w:bookmarkEnd w:id="227"/>
      <w:r>
        <w:rPr>
          <w:rFonts w:ascii="Times New Roman;serif" w:hAnsi="Times New Roman;serif"/>
          <w:b w:val="false"/>
          <w:color w:val="000000"/>
          <w:sz w:val="22"/>
        </w:rPr>
        <w:t xml:space="preserve">(ii)Any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or received by the Administrative Agent from a Defaulting Lender pursuant to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 xml:space="preserve">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on a pro rata basis of any amounts owing by such Defaulting Lender to the Issuing Banks or Swingline Lender hereunder;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Cash Collateralize each Issuing Bank’s LC Exposure with respect to such Defaulting Lender in accordance with </w:t>
      </w:r>
      <w:r>
        <w:rPr>
          <w:rFonts w:ascii="Times New Roman;serif" w:hAnsi="Times New Roman;serif"/>
          <w:b w:val="false"/>
          <w:color w:val="000000"/>
          <w:sz w:val="22"/>
          <w:u w:val="single"/>
        </w:rPr>
        <w:t>Section 2.26(a)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036955"/>
                <wp:effectExtent l="0" t="0" r="0" b="0"/>
                <wp:wrapNone/>
                <wp:docPr id="213" name="Frame21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determined by the Administrative Agent;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w:t>
      </w:r>
      <w:r>
        <w:rPr>
          <w:rFonts w:ascii="Times New Roman;serif" w:hAnsi="Times New Roman;serif"/>
          <w:b w:val="false"/>
          <w:color w:val="000000"/>
          <w:sz w:val="22"/>
          <w:u w:val="single"/>
        </w:rPr>
        <w:t>Section 2.26(a)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the payment of any amounts owing to the Lenders, the Issuing Banks or Swingline Lender as a result of any judgment of a court of competent jurisdiction obtained by any Lender, any Issuing Bank or Swingline Lender against such Defaulting Lender as a result of such Defaulting Lender’s breach of its obligations under this Agreement; </w:t>
      </w:r>
      <w:r>
        <w:rPr>
          <w:rFonts w:ascii="Times New Roman;serif" w:hAnsi="Times New Roman;serif"/>
          <w:b w:val="false"/>
          <w:color w:val="000000"/>
          <w:sz w:val="22"/>
          <w:u w:val="single"/>
        </w:rPr>
        <w:t>seventh</w:t>
      </w:r>
      <w:r>
        <w:rPr>
          <w:rFonts w:ascii="Times New Roman;serif" w:hAnsi="Times New Roman;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Obligations and Swingline Loans are held by the Lenders pro rata in accordance with the Commitments under the applicable Facility without giving effect to sub-section (iv) below.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2.26(b)(ii)</w:t>
      </w:r>
      <w:r>
        <w:rPr>
          <w:color w:val="000000"/>
        </w:rPr>
        <w:t xml:space="preserve"> </w:t>
      </w:r>
      <w:r>
        <w:rPr>
          <w:rFonts w:ascii="Times New Roman;serif" w:hAnsi="Times New Roman;serif"/>
          <w:b w:val="false"/>
          <w:color w:val="000000"/>
          <w:sz w:val="22"/>
        </w:rPr>
        <w:t>shall be deemed paid to and redirected by such Defaulting Lender, and each Lender irrevocably consents hereto.</w:t>
      </w:r>
    </w:p>
    <w:p>
      <w:pPr>
        <w:pStyle w:val="TextBody"/>
        <w:bidi w:val="0"/>
        <w:spacing w:lineRule="auto" w:line="240" w:before="0" w:after="240"/>
        <w:ind w:left="0" w:right="0" w:firstLine="1440"/>
        <w:jc w:val="both"/>
        <w:rPr/>
      </w:pPr>
      <w:bookmarkStart w:id="228" w:name="iddbb844e35d3401c83dd6fa0cb282585"/>
      <w:bookmarkEnd w:id="228"/>
      <w:r>
        <w:rPr>
          <w:rFonts w:ascii="Times New Roman;serif" w:hAnsi="Times New Roman;serif"/>
          <w:b w:val="false"/>
          <w:color w:val="000000"/>
          <w:sz w:val="22"/>
        </w:rPr>
        <w:t>(iii)</w:t>
      </w:r>
      <w:r>
        <w:rPr>
          <w:rFonts w:ascii="Times New Roman;serif" w:hAnsi="Times New Roman;serif"/>
          <w:b w:val="false"/>
          <w:color w:val="000000"/>
          <w:sz w:val="24"/>
        </w:rPr>
        <w:t>(A)</w:t>
      </w:r>
      <w:bookmarkStart w:id="229" w:name="ia9980f7ee6f34eacba3465798f895347"/>
      <w:bookmarkEnd w:id="229"/>
      <w:r>
        <w:rPr>
          <w:color w:val="000000"/>
        </w:rPr>
        <w:t xml:space="preserve"> </w:t>
      </w:r>
      <w:r>
        <w:rPr>
          <w:rFonts w:ascii="Times New Roman;serif" w:hAnsi="Times New Roman;serif"/>
          <w:b w:val="false"/>
          <w:color w:val="000000"/>
          <w:sz w:val="22"/>
        </w:rPr>
        <w:t xml:space="preserve">No Defaulting Lender shall be entitled to receive any Commitment Fee pursuant to </w:t>
      </w:r>
      <w:r>
        <w:rPr>
          <w:rFonts w:ascii="Times New Roman;serif" w:hAnsi="Times New Roman;serif"/>
          <w:b w:val="false"/>
          <w:color w:val="000000"/>
          <w:sz w:val="22"/>
          <w:u w:val="single"/>
        </w:rPr>
        <w:t>Section 2.14(b)</w:t>
      </w:r>
      <w:r>
        <w:rPr>
          <w:color w:val="000000"/>
        </w:rPr>
        <w:t xml:space="preserve"> </w:t>
      </w:r>
      <w:r>
        <w:rPr>
          <w:rFonts w:ascii="Times New Roman;serif" w:hAnsi="Times New Roman;serif"/>
          <w:b w:val="false"/>
          <w:color w:val="000000"/>
          <w:sz w:val="22"/>
        </w:rPr>
        <w:t xml:space="preserve">or any Delayed Draw Term Ticking Fee pursuant to </w:t>
      </w:r>
      <w:r>
        <w:rPr>
          <w:rFonts w:ascii="Times New Roman;serif" w:hAnsi="Times New Roman;serif"/>
          <w:b w:val="false"/>
          <w:color w:val="000000"/>
          <w:sz w:val="22"/>
          <w:u w:val="single"/>
        </w:rPr>
        <w:t>Section 2.14(d)</w:t>
      </w:r>
      <w:r>
        <w:rPr>
          <w:color w:val="000000"/>
        </w:rPr>
        <w:t xml:space="preserve"> </w:t>
      </w:r>
      <w:r>
        <w:rPr>
          <w:rFonts w:ascii="Times New Roman;serif" w:hAnsi="Times New Roman;serif"/>
          <w:b w:val="false"/>
          <w:color w:val="000000"/>
          <w:sz w:val="22"/>
        </w:rPr>
        <w:t>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bookmarkStart w:id="230" w:name="i74be438407ed417989cb8eaa6f57ed2c"/>
      <w:bookmarkEnd w:id="230"/>
      <w:r>
        <w:rPr>
          <w:rFonts w:ascii="Times New Roman;serif" w:hAnsi="Times New Roman;serif"/>
          <w:b w:val="false"/>
          <w:color w:val="000000"/>
          <w:sz w:val="22"/>
        </w:rPr>
        <w:t xml:space="preserve">(A)Each Defaulting Lender shall be entitled to receive letter of credit fees pursuant to </w:t>
      </w:r>
      <w:r>
        <w:rPr>
          <w:rFonts w:ascii="Times New Roman;serif" w:hAnsi="Times New Roman;serif"/>
          <w:b w:val="false"/>
          <w:color w:val="000000"/>
          <w:sz w:val="22"/>
          <w:u w:val="single"/>
        </w:rPr>
        <w:t>Section 2.14(c)</w:t>
      </w:r>
      <w:r>
        <w:rPr>
          <w:color w:val="000000"/>
        </w:rPr>
        <w:t xml:space="preserve"> </w:t>
      </w:r>
      <w:r>
        <w:rPr>
          <w:rFonts w:ascii="Times New Roman;serif" w:hAnsi="Times New Roman;serif"/>
          <w:b w:val="false"/>
          <w:color w:val="000000"/>
          <w:sz w:val="22"/>
        </w:rPr>
        <w:t xml:space="preserve">for any period during which that Lender is a Defaulting Lender only to the extent allocable to that portion of its LC Exposure for which it has provided Cash Collateral pursuant to </w:t>
      </w:r>
      <w:r>
        <w:rPr>
          <w:rFonts w:ascii="Times New Roman;serif" w:hAnsi="Times New Roman;serif"/>
          <w:b w:val="false"/>
          <w:color w:val="000000"/>
          <w:sz w:val="22"/>
          <w:u w:val="single"/>
        </w:rPr>
        <w:t>Section 2.26(a)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231" w:name="i20c75a1affdc4e50a1e646c21b8b7c74"/>
      <w:bookmarkEnd w:id="231"/>
      <w:r>
        <w:rPr>
          <w:rFonts w:ascii="Times New Roman;serif" w:hAnsi="Times New Roman;serif"/>
          <w:b w:val="false"/>
          <w:color w:val="000000"/>
          <w:sz w:val="22"/>
        </w:rPr>
        <w:t>(B)With respect to any Commitment Fee, Delayed Draw Ticking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Swingline Lender, as applicable, the amount of any such fee otherwise payable to such Defaulting Lender to the extent allocable to such Issuing Bank’s LC Exposure or Swingline Lender’s Swingline Exposure with respect to such Defaulting Lender that has not been Cash Collateralized, and (z) not be required to pay the remaining amount of any such fee.</w:t>
      </w:r>
    </w:p>
    <w:p>
      <w:pPr>
        <w:pStyle w:val="TextBody"/>
        <w:bidi w:val="0"/>
        <w:spacing w:lineRule="auto" w:line="240" w:before="0" w:after="240"/>
        <w:ind w:left="0" w:right="0" w:firstLine="1440"/>
        <w:jc w:val="both"/>
        <w:rPr/>
      </w:pPr>
      <w:bookmarkStart w:id="232" w:name="i0062086d39ff4410a4966318d0ebde19"/>
      <w:bookmarkEnd w:id="232"/>
      <w:r>
        <w:rPr>
          <w:rFonts w:ascii="Times New Roman;serif" w:hAnsi="Times New Roman;serif"/>
          <w:b w:val="false"/>
          <w:color w:val="000000"/>
          <w:sz w:val="22"/>
        </w:rPr>
        <w:t xml:space="preserve">(iv)All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are satisfied at the time of such reallocation (and, unless the Borrower shall have otherwise notified the Administrative Agent at such time, the Borrower shall be deemed to have represented and warranted that such conditions are satisfied at such time), and (y) such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036955"/>
                <wp:effectExtent l="0" t="0" r="0" b="0"/>
                <wp:wrapNone/>
                <wp:docPr id="214" name="Frame21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reallocation does not cause the aggregate Revolving Credit Exposure of any Non-Defaulting Lender to exceed such Non-Defaulting Lender’s Revolving Commitment. Subject to </w:t>
      </w:r>
      <w:r>
        <w:rPr>
          <w:rFonts w:ascii="Times New Roman;serif" w:hAnsi="Times New Roman;serif"/>
          <w:b w:val="false"/>
          <w:color w:val="000000"/>
          <w:sz w:val="22"/>
          <w:u w:val="single"/>
        </w:rPr>
        <w:t>Section 10.18</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0" w:after="240"/>
        <w:ind w:left="0" w:right="0" w:firstLine="1440"/>
        <w:jc w:val="both"/>
        <w:rPr/>
      </w:pPr>
      <w:bookmarkStart w:id="233" w:name="ibc56d0f6eed64c928f4d4f4d82387064"/>
      <w:bookmarkEnd w:id="233"/>
      <w:r>
        <w:rPr>
          <w:rFonts w:ascii="Times New Roman;serif" w:hAnsi="Times New Roman;serif"/>
          <w:b w:val="false"/>
          <w:color w:val="000000"/>
          <w:sz w:val="22"/>
        </w:rPr>
        <w:t xml:space="preserve">(v)If the reallocation described in clause (iv) above cannot, or can only partially, be effected, the Borrower shall, without prejudice to any right or remedy available to it hereunder or under law, (x) first, prepay Swingline Loans in an amount equal to the Swingline Lender’s Swingline Exposure with respect to such Defaulting Lender and (y) second, Cash Collateralize the Issuing Banks’ LC Exposure with respect to such Defaulting Lender in accordance with the procedures set forth in </w:t>
      </w:r>
      <w:r>
        <w:rPr>
          <w:rFonts w:ascii="Times New Roman;serif" w:hAnsi="Times New Roman;serif"/>
          <w:b w:val="false"/>
          <w:color w:val="000000"/>
          <w:sz w:val="22"/>
          <w:u w:val="single"/>
        </w:rPr>
        <w:t>Section 2.26(a)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34" w:name="i178e6c96177844c391660910e9fbe023"/>
      <w:bookmarkEnd w:id="234"/>
      <w:r>
        <w:rPr>
          <w:rFonts w:ascii="Times New Roman;serif" w:hAnsi="Times New Roman;serif"/>
          <w:b w:val="false"/>
          <w:color w:val="000000"/>
          <w:sz w:val="22"/>
        </w:rPr>
        <w:t>(c)</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the Administrative Agent, Swingline Lender and the Issuing Banks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serif" w:hAnsi="Times New Roman;serif"/>
          <w:b w:val="false"/>
          <w:color w:val="000000"/>
          <w:sz w:val="22"/>
          <w:u w:val="single"/>
        </w:rPr>
        <w:t>Section 2.26(b)(iv)</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1440"/>
        <w:jc w:val="both"/>
        <w:rPr/>
      </w:pPr>
      <w:bookmarkStart w:id="235" w:name="i9664fbee696d4b3ea810e8075bc79c44"/>
      <w:bookmarkEnd w:id="235"/>
      <w:r>
        <w:rPr>
          <w:rFonts w:ascii="Times New Roman;serif" w:hAnsi="Times New Roman;serif"/>
          <w:b w:val="false"/>
          <w:color w:val="000000"/>
          <w:sz w:val="22"/>
        </w:rPr>
        <w:t>(d)</w:t>
      </w:r>
      <w:r>
        <w:rPr>
          <w:rFonts w:ascii="Times New Roman;serif" w:hAnsi="Times New Roman;serif"/>
          <w:b w:val="false"/>
          <w:color w:val="000000"/>
          <w:sz w:val="22"/>
          <w:u w:val="single"/>
        </w:rPr>
        <w:t>New Swingline Loans/Letters of Credit.</w:t>
      </w:r>
      <w:r>
        <w:rPr>
          <w:color w:val="000000"/>
        </w:rPr>
        <w:t xml:space="preserve"> </w:t>
      </w:r>
      <w:r>
        <w:rPr>
          <w:rFonts w:ascii="Times New Roman;serif" w:hAnsi="Times New Roman;serif"/>
          <w:b w:val="false"/>
          <w:color w:val="000000"/>
          <w:sz w:val="22"/>
        </w:rPr>
        <w:t xml:space="preserve">So long as any Revolving Lender is a Defaulting Lender, (i) the Swingline Lender shall not be required to fund any Swingline Loans unless it is satisfied that it will have no Swingline Exposure after giving effect to such Swingline Loan and (ii) no Issuing Bank shall be required to issue, extend, renew or increase any Letter of Credit unless it is satisfied that it will have no LC Exposure after giving effect thereto. </w:t>
      </w:r>
    </w:p>
    <w:p>
      <w:pPr>
        <w:pStyle w:val="TextBody"/>
        <w:bidi w:val="0"/>
        <w:spacing w:lineRule="auto" w:line="240" w:before="0" w:after="240"/>
        <w:ind w:left="0" w:right="0" w:firstLine="720"/>
        <w:jc w:val="both"/>
        <w:rPr/>
      </w:pPr>
      <w:bookmarkStart w:id="236" w:name="i0a4edc2d8a9349a481bd350e940943e1"/>
      <w:bookmarkEnd w:id="236"/>
      <w:r>
        <w:rPr>
          <w:rFonts w:ascii="Times New Roman;serif" w:hAnsi="Times New Roman;serif"/>
          <w:b/>
          <w:color w:val="000000"/>
          <w:sz w:val="22"/>
        </w:rPr>
        <w:t>Section 2.27</w:t>
      </w:r>
      <w:r>
        <w:rPr>
          <w:rFonts w:ascii="Times New Roman;serif" w:hAnsi="Times New Roman;serif"/>
          <w:b/>
          <w:color w:val="000000"/>
          <w:sz w:val="22"/>
          <w:u w:val="single"/>
        </w:rPr>
        <w:t>Extended Facilities.</w:t>
      </w:r>
      <w:r>
        <w:rPr>
          <w:color w:val="000000"/>
        </w:rPr>
        <w:t xml:space="preserve"> </w:t>
      </w:r>
      <w:r>
        <w:rPr>
          <w:rFonts w:ascii="Times New Roman;serif" w:hAnsi="Times New Roman;serif"/>
          <w:b w:val="false"/>
          <w:color w:val="000000"/>
          <w:sz w:val="22"/>
        </w:rPr>
        <w:t>Notwithstanding anything to the contrary in this Agreement, pursuant to one or more offers (each, an “</w:t>
      </w:r>
      <w:r>
        <w:rPr>
          <w:rFonts w:ascii="Times New Roman;serif" w:hAnsi="Times New Roman;serif"/>
          <w:b w:val="false"/>
          <w:color w:val="000000"/>
          <w:sz w:val="22"/>
          <w:u w:val="single"/>
        </w:rPr>
        <w:t>Extension Offer</w:t>
      </w:r>
      <w:r>
        <w:rPr>
          <w:color w:val="000000"/>
        </w:rPr>
        <w:t>”</w:t>
      </w:r>
      <w:r>
        <w:rPr>
          <w:rFonts w:ascii="Times New Roman;serif" w:hAnsi="Times New Roman;serif"/>
          <w:b w:val="false"/>
          <w:color w:val="000000"/>
          <w:sz w:val="22"/>
        </w:rPr>
        <w:t>) made from time to time by the Borrower to all Lenders of Term Loans with a like Maturity Date or all Lenders with Revolving Commitments of the same Class, in each case on a pro rata basis (based on the outstanding amount of the respective Loans or the aggregate amount of the Revolving Commitments, as the case may be, with the same Revolving Commitment Termination Date) and on the same terms to each such Lender, the Borrower may from time to time offer (but no Lender is obligated to accept such offer) to extend the maturity date, modify the interest rate or fees payable in respect of such Term Loans and/or Revolving Commitments (and related outstandings) and/or modify the amortization schedule in respect of such Term Loans (each, an “</w:t>
      </w:r>
      <w:r>
        <w:rPr>
          <w:rFonts w:ascii="Times New Roman;serif" w:hAnsi="Times New Roman;serif"/>
          <w:b w:val="false"/>
          <w:color w:val="000000"/>
          <w:sz w:val="22"/>
          <w:u w:val="single"/>
        </w:rPr>
        <w:t>Extension</w:t>
      </w:r>
      <w:r>
        <w:rPr>
          <w:color w:val="000000"/>
        </w:rPr>
        <w:t>”</w:t>
      </w:r>
      <w:r>
        <w:rPr>
          <w:rFonts w:ascii="Times New Roman;serif" w:hAnsi="Times New Roman;serif"/>
          <w:b w:val="false"/>
          <w:color w:val="000000"/>
          <w:sz w:val="22"/>
        </w:rPr>
        <w:t xml:space="preserve">, and each group of Term Loans or Revolving Commitments, as applicable, in each case as so extended, as well as the original Term Loans and Revolving Commitments (in each case not so extended), being a tranche; any Extended Term Loans shall constitute a separate tranche of Term Loans from the tranche of Term Loans from which they were converted, and any Extended Revolving Commitments shall constitute a separate tranche of Revolving Commitments from the tranche of Revolving Commitments from which they were converted), all as set forth in greater detail in an Extended Facility Agreement so long as the terms set forth below are satisfied: </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37" w:name="i9129124aeb7c40a48dd3ad891cb71e56"/>
      <w:bookmarkEnd w:id="237"/>
      <w:r>
        <w:rPr>
          <w:rFonts w:ascii="Times New Roman;serif" w:hAnsi="Times New Roman;serif"/>
          <w:b w:val="false"/>
          <w:color w:val="000000"/>
          <w:sz w:val="22"/>
        </w:rPr>
        <w:t xml:space="preserve">(i)(A) no Event of Default shall have occurred and be continuing at the time an Extension Offer is delivered to the Lenders and at the time of the Extended Facility Closing Date and (B) all representations and warranties of each Loan Party set forth in the Loan Documents shall be true and correct in all material respects (other than those representations and warranties that are expressly qualified by Material Adverse Effect or other materiality, in which case such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036955"/>
                <wp:effectExtent l="0" t="0" r="0" b="0"/>
                <wp:wrapNone/>
                <wp:docPr id="215" name="Frame21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representations and warranties shall be true and correct in all respects) as of the Extended Facility Closing Date (or, if such representation or warranty relates to an earlier date, as of such earlier date);</w:t>
      </w:r>
    </w:p>
    <w:p>
      <w:pPr>
        <w:pStyle w:val="TextBody"/>
        <w:bidi w:val="0"/>
        <w:spacing w:lineRule="auto" w:line="288" w:before="0" w:after="240"/>
        <w:ind w:left="0" w:right="0" w:firstLine="1440"/>
        <w:jc w:val="both"/>
        <w:rPr/>
      </w:pPr>
      <w:bookmarkStart w:id="238" w:name="ie61b2e4038644fda9c8bd3ffdc9175ef"/>
      <w:bookmarkEnd w:id="238"/>
      <w:r>
        <w:rPr>
          <w:rFonts w:ascii="Times New Roman;serif" w:hAnsi="Times New Roman;serif"/>
          <w:b w:val="false"/>
          <w:color w:val="000000"/>
          <w:sz w:val="22"/>
        </w:rPr>
        <w:t>(ii)except as to interest rates, fees and final maturity, the Revolving Commitment of any Lender (an “</w:t>
      </w:r>
      <w:r>
        <w:rPr>
          <w:rFonts w:ascii="Times New Roman;serif" w:hAnsi="Times New Roman;serif"/>
          <w:b w:val="false"/>
          <w:color w:val="000000"/>
          <w:sz w:val="22"/>
          <w:u w:val="single"/>
        </w:rPr>
        <w:t>Extending Revolving Lender</w:t>
      </w:r>
      <w:r>
        <w:rPr>
          <w:color w:val="000000"/>
        </w:rPr>
        <w:t>”</w:t>
      </w:r>
      <w:r>
        <w:rPr>
          <w:rFonts w:ascii="Times New Roman;serif" w:hAnsi="Times New Roman;serif"/>
          <w:b w:val="false"/>
          <w:color w:val="000000"/>
          <w:sz w:val="22"/>
        </w:rPr>
        <w:t>) extended pursuant to an Extension (an “</w:t>
      </w:r>
      <w:r>
        <w:rPr>
          <w:rFonts w:ascii="Times New Roman;serif" w:hAnsi="Times New Roman;serif"/>
          <w:b w:val="false"/>
          <w:color w:val="000000"/>
          <w:sz w:val="22"/>
          <w:u w:val="single"/>
        </w:rPr>
        <w:t>Extended Revolving Commitment</w:t>
      </w:r>
      <w:r>
        <w:rPr>
          <w:color w:val="000000"/>
        </w:rPr>
        <w:t>”</w:t>
      </w:r>
      <w:r>
        <w:rPr>
          <w:rFonts w:ascii="Times New Roman;serif" w:hAnsi="Times New Roman;serif"/>
          <w:b w:val="false"/>
          <w:color w:val="000000"/>
          <w:sz w:val="22"/>
        </w:rPr>
        <w:t xml:space="preserve">), and the related outstandings, shall be a Revolving Commitment (or related Revolving Loan outstandings, as the case may be) with the same terms as the original Revolving Commitments (and related Revolving Loan outstandings) (except to the extent that such terms are (I) less favorable to the Extending Revolving Lenders than to the Lenders of the non-extended Revolving Commitment, (II) applicable only to periods after the latest Maturity Date hereunder at such time, or (III) to the extent more favorable to the Extending Revolving Lenders than to the Lenders of the non-extended Revolving Commitments, as are incorporated into the Loan Documents for the benefit of all existing Lenders (which, in the case of this subclause (III), may, if beneficial for the Lenders, be accomplished via an amendment to the existing Loan Documents entered into between the Borrower, the other Loan Parties and the Administrative agent, without the consent of the Lenders)) or terms that are reasonably satisfactory to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subject to the provisions of </w:t>
      </w:r>
      <w:r>
        <w:rPr>
          <w:rFonts w:ascii="Times New Roman;serif" w:hAnsi="Times New Roman;serif"/>
          <w:b w:val="false"/>
          <w:color w:val="000000"/>
          <w:sz w:val="22"/>
          <w:u w:val="single"/>
        </w:rPr>
        <w:t>Sections 2.22(a)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2.4(a)</w:t>
      </w:r>
      <w:r>
        <w:rPr>
          <w:color w:val="000000"/>
        </w:rPr>
        <w:t xml:space="preserve"> </w:t>
      </w:r>
      <w:r>
        <w:rPr>
          <w:rFonts w:ascii="Times New Roman;serif" w:hAnsi="Times New Roman;serif"/>
          <w:b w:val="false"/>
          <w:color w:val="000000"/>
          <w:sz w:val="22"/>
        </w:rPr>
        <w:t>to the extent dealing with Letters of Credit and Swingline Loans which mature or expire after a Revolving Commitment Termination Date when there exist Extended Revolving Commitments with a longer Revolving Commitment Termination Date, all Letters of Credit and Swingline Loans shall be participated in on a pro rata basis by all Lenders with Revolving Commitments in accordance with their Pro Rata Share of the Aggregate Revolving Commitment Amount (computed on the Revolving Commitments then-outstanding) and all Borrowings under Revolving Commitments and repayments thereunder shall be made on a pro rata basis (except for (A) payments of interest and fees at different rates on Extended Revolving Commitments (and related outstandings) and (B) repayments required upon the Revolving Commitment Termination Date for the non-extending Revolving Commitments) and (y) at no time shall there be Revolving Commitments hereunder (including Extended Revolving Commitments, Other Refinancing Revolving Commitments and any original Revolving Commitments) which have more than three (3) different Revolving Commitment Termination Dates;</w:t>
      </w:r>
    </w:p>
    <w:p>
      <w:pPr>
        <w:pStyle w:val="TextBody"/>
        <w:bidi w:val="0"/>
        <w:spacing w:lineRule="auto" w:line="288" w:before="0" w:after="240"/>
        <w:ind w:left="0" w:right="0" w:firstLine="1440"/>
        <w:jc w:val="both"/>
        <w:rPr/>
      </w:pPr>
      <w:bookmarkStart w:id="239" w:name="ie053af6e5c604064ab64df0de40eb0de"/>
      <w:bookmarkEnd w:id="239"/>
      <w:r>
        <w:rPr>
          <w:rFonts w:ascii="Times New Roman;serif" w:hAnsi="Times New Roman;serif"/>
          <w:b w:val="false"/>
          <w:color w:val="000000"/>
          <w:sz w:val="22"/>
        </w:rPr>
        <w:t>(iii)except as to interest rates, fees, amortization schedule, final maturity date, premium, required prepayment dates and participation in prepayments, the Term Loans of any Lender (an “</w:t>
      </w:r>
      <w:r>
        <w:rPr>
          <w:rFonts w:ascii="Times New Roman;serif" w:hAnsi="Times New Roman;serif"/>
          <w:b w:val="false"/>
          <w:color w:val="000000"/>
          <w:sz w:val="22"/>
          <w:u w:val="single"/>
        </w:rPr>
        <w:t>Extending Term Loan Lender</w:t>
      </w:r>
      <w:r>
        <w:rPr>
          <w:color w:val="000000"/>
        </w:rPr>
        <w:t>”</w:t>
      </w:r>
      <w:r>
        <w:rPr>
          <w:rFonts w:ascii="Times New Roman;serif" w:hAnsi="Times New Roman;serif"/>
          <w:b w:val="false"/>
          <w:color w:val="000000"/>
          <w:sz w:val="22"/>
        </w:rPr>
        <w:t>) extended pursuant to any Extension (“</w:t>
      </w:r>
      <w:r>
        <w:rPr>
          <w:rFonts w:ascii="Times New Roman;serif" w:hAnsi="Times New Roman;serif"/>
          <w:b w:val="false"/>
          <w:color w:val="000000"/>
          <w:sz w:val="22"/>
          <w:u w:val="single"/>
        </w:rPr>
        <w:t>Extended Term Loans</w:t>
      </w:r>
      <w:r>
        <w:rPr>
          <w:color w:val="000000"/>
        </w:rPr>
        <w:t>”</w:t>
      </w:r>
      <w:r>
        <w:rPr>
          <w:rFonts w:ascii="Times New Roman;serif" w:hAnsi="Times New Roman;serif"/>
          <w:b w:val="false"/>
          <w:color w:val="000000"/>
          <w:sz w:val="22"/>
        </w:rPr>
        <w:t>) shall have the same terms as the tranche of Term Loans subject to such Extension Offer (except to the extent that such terms are (I) less favorable to the Extending Term Loan Lenders than to the Lenders of the non-extended Term Loans, (II) applicable only to periods after the latest Maturity Date hereunder at such time, or (III) to the extent more favorable to the Extending Term Loan Lenders than to the Lenders of the non-extended Term Loans, as are incorporated into the Loan Documents for the benefit of all existing Lenders (which, in the case of this subclause (III), may, if beneficial for the Lenders, be accomplished via an amendment to the existing Loan Documents entered into between the Borrower, the other Loan Parties and the Administrative Agent, without the consent of the Lenders)) or terms that are reasonably satisfactory to the Administrative Agent;</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0" w:name="i07a20864b42d42d585daa759c900626f"/>
      <w:bookmarkEnd w:id="240"/>
      <w:r>
        <w:rPr>
          <w:rFonts w:ascii="Times New Roman;serif" w:hAnsi="Times New Roman;serif"/>
          <w:b w:val="false"/>
          <w:color w:val="000000"/>
          <w:sz w:val="22"/>
        </w:rPr>
        <w:t>(iv)the final maturity date for any Extended Term Loans shall be no earlier than the then latest Maturity Date hereunder or under any existing Extended Facility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036955"/>
                <wp:effectExtent l="0" t="0" r="0" b="0"/>
                <wp:wrapNone/>
                <wp:docPr id="216" name="Frame21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1" w:name="iae07ac3fb7304e49a6a334398aadd224"/>
      <w:bookmarkEnd w:id="241"/>
      <w:r>
        <w:rPr>
          <w:rFonts w:ascii="Times New Roman;serif" w:hAnsi="Times New Roman;serif"/>
          <w:b w:val="false"/>
          <w:color w:val="000000"/>
          <w:sz w:val="22"/>
        </w:rPr>
        <w:t>(v)the Weighted Average Life to Maturity of any Extended Term Loans shall be no shorter than the remaining Weighted Average Life to Maturity of the Term Loans extended thereby;</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2" w:name="i646939855e3a496abdb9f90d9a8e1483"/>
      <w:bookmarkEnd w:id="242"/>
      <w:r>
        <w:rPr>
          <w:rFonts w:ascii="Times New Roman;serif" w:hAnsi="Times New Roman;serif"/>
          <w:b w:val="false"/>
          <w:color w:val="000000"/>
          <w:sz w:val="22"/>
        </w:rPr>
        <w:t>(vi)any Extended Term Loans may participate on a pro rata basis or a less than pro rata basis (but not greater than a pro rata basis) in any voluntary or mandatory repayments or prepayments hereunder, in each case as specified in the respective Extended Facility Agreement;</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3" w:name="i3761d40611ab4eeba18ff89384f6b3af"/>
      <w:bookmarkEnd w:id="243"/>
      <w:r>
        <w:rPr>
          <w:rFonts w:ascii="Times New Roman;serif" w:hAnsi="Times New Roman;serif"/>
          <w:b w:val="false"/>
          <w:color w:val="000000"/>
          <w:sz w:val="22"/>
        </w:rPr>
        <w:t>(vii)if the aggregate principal amount of applicable Term Loans (calculated on the face amount thereof) or Revolving Commitments, as the case may be, in respect of which applicable Lenders holding Term Loans or Lenders holding Revolving Commitments, as the case may be, shall have accepted the relevant Extension Offer shall exceed the maximum aggregate principal amount of applicable Term Loans or Revolving Commitments, as the case may be, offered to be extended by Borrower pursuant to such Extension Offer, then the applicable Term Loans or Revolving Commitments, as the case may be, of the applicable Lenders holding Term Loans or Lenders holding Revolving Commitments, as the case may be, shall be extended ratably up to such maximum amount based on the respective principal amounts (but not to exceed actual holdings of record) with respect to which such Lenders holding Term Loans or Lenders holding Revolving Commitments, as the case may be, have accepted such Extension Offer;</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4" w:name="ie3b512a7120a4f7f8dce2b18e0309219"/>
      <w:bookmarkEnd w:id="244"/>
      <w:r>
        <w:rPr>
          <w:rFonts w:ascii="Times New Roman;serif" w:hAnsi="Times New Roman;serif"/>
          <w:b w:val="false"/>
          <w:color w:val="000000"/>
          <w:sz w:val="22"/>
        </w:rPr>
        <w:t>(viii)all documentation in respect of such Extension shall be consistent with the foregoing;</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5" w:name="if24ccf6eb95f490eb5b949a8e0a34f89"/>
      <w:bookmarkEnd w:id="245"/>
      <w:r>
        <w:rPr>
          <w:rFonts w:ascii="Times New Roman;serif" w:hAnsi="Times New Roman;serif"/>
          <w:b w:val="false"/>
          <w:color w:val="000000"/>
          <w:sz w:val="22"/>
        </w:rPr>
        <w:t>(ix)any Extended Facility requested by the Borrower shall be in a minimum amount of $20,000,000 and</w:t>
      </w:r>
    </w:p>
    <w:p>
      <w:pPr>
        <w:pStyle w:val="TextBody"/>
        <w:bidi w:val="0"/>
        <w:spacing w:lineRule="auto" w:line="288" w:before="0" w:after="240"/>
        <w:ind w:left="0" w:right="0" w:firstLine="1440"/>
        <w:jc w:val="both"/>
        <w:rPr>
          <w:rFonts w:ascii="Times New Roman;serif" w:hAnsi="Times New Roman;serif"/>
          <w:b w:val="false"/>
          <w:color w:val="000000"/>
          <w:sz w:val="22"/>
        </w:rPr>
      </w:pPr>
      <w:bookmarkStart w:id="246" w:name="i66d15c9ca8ce4ee3b108e1ca83c1e2e0"/>
      <w:bookmarkEnd w:id="246"/>
      <w:r>
        <w:rPr>
          <w:rFonts w:ascii="Times New Roman;serif" w:hAnsi="Times New Roman;serif"/>
          <w:b w:val="false"/>
          <w:color w:val="000000"/>
          <w:sz w:val="22"/>
        </w:rPr>
        <w:t>(x)the Administrative Agent and the lenders party thereto shall enter into an Extended Revolving Credit Facility Agreement or an Extended Term Facility Agreement, as the case may be, and the conditions precedent set forth therein shall have been satisfied or waived in accordance with its terms.</w:t>
      </w:r>
    </w:p>
    <w:p>
      <w:pPr>
        <w:pStyle w:val="TextBody"/>
        <w:bidi w:val="0"/>
        <w:spacing w:lineRule="auto" w:line="288" w:before="0" w:after="240"/>
        <w:jc w:val="both"/>
        <w:rPr/>
      </w:pPr>
      <w:r>
        <w:rPr>
          <w:rFonts w:ascii="Times New Roman;serif" w:hAnsi="Times New Roman;serif"/>
          <w:b w:val="false"/>
          <w:color w:val="000000"/>
          <w:sz w:val="22"/>
        </w:rPr>
        <w:t xml:space="preserve">Subject to compliance with the terms of this </w:t>
      </w:r>
      <w:r>
        <w:rPr>
          <w:rFonts w:ascii="Times New Roman;serif" w:hAnsi="Times New Roman;serif"/>
          <w:b w:val="false"/>
          <w:color w:val="000000"/>
          <w:sz w:val="22"/>
          <w:u w:val="single"/>
        </w:rPr>
        <w:t>Section 2.27</w:t>
      </w:r>
      <w:r>
        <w:rPr>
          <w:rFonts w:ascii="Times New Roman;serif" w:hAnsi="Times New Roman;serif"/>
          <w:b w:val="false"/>
          <w:color w:val="000000"/>
          <w:sz w:val="22"/>
        </w:rPr>
        <w:t xml:space="preserve">, the Administrative Agent, each Issuing Bank and the Lenders hereby consent to the Extensions and the other transactions contemplated by this </w:t>
      </w:r>
      <w:r>
        <w:rPr>
          <w:rFonts w:ascii="Times New Roman;serif" w:hAnsi="Times New Roman;serif"/>
          <w:b w:val="false"/>
          <w:color w:val="000000"/>
          <w:sz w:val="22"/>
          <w:u w:val="single"/>
        </w:rPr>
        <w:t>Section 2.27</w:t>
      </w:r>
      <w:r>
        <w:rPr>
          <w:color w:val="000000"/>
        </w:rPr>
        <w:t xml:space="preserve"> </w:t>
      </w:r>
      <w:r>
        <w:rPr>
          <w:rFonts w:ascii="Times New Roman;serif" w:hAnsi="Times New Roman;serif"/>
          <w:b w:val="false"/>
          <w:color w:val="000000"/>
          <w:sz w:val="22"/>
        </w:rPr>
        <w:t xml:space="preserve">(including, for the avoidance of doubt, payment of any interest, fees or premium in respect of any Extended Term Loans and/or Extended Revolving Commitments on such terms as may be set forth in the relevant Extended Facility Agreement) and hereby waive the requirements of any provision of this Agreement (including </w:t>
      </w:r>
      <w:r>
        <w:rPr>
          <w:rFonts w:ascii="Times New Roman;serif" w:hAnsi="Times New Roman;serif"/>
          <w:b w:val="false"/>
          <w:color w:val="000000"/>
          <w:sz w:val="22"/>
          <w:u w:val="single"/>
        </w:rPr>
        <w:t>Sections 2.21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rFonts w:ascii="Times New Roman;serif" w:hAnsi="Times New Roman;serif"/>
          <w:b w:val="false"/>
          <w:color w:val="000000"/>
          <w:sz w:val="22"/>
        </w:rPr>
        <w:t xml:space="preserve">, or any other provisions regarding the sharing of payments) or any other Loan Document that may otherwise prohibit any such Extension or any other transaction contemplated by this </w:t>
      </w:r>
      <w:r>
        <w:rPr>
          <w:rFonts w:ascii="Times New Roman;serif" w:hAnsi="Times New Roman;serif"/>
          <w:b w:val="false"/>
          <w:color w:val="000000"/>
          <w:sz w:val="22"/>
          <w:u w:val="single"/>
        </w:rPr>
        <w:t>Section 2.27</w:t>
      </w:r>
      <w:r>
        <w:rPr>
          <w:rFonts w:ascii="Times New Roman;serif" w:hAnsi="Times New Roman;serif"/>
          <w:b w:val="false"/>
          <w:color w:val="000000"/>
          <w:sz w:val="22"/>
        </w:rPr>
        <w:t xml:space="preserve">. The Lenders hereto agree that the Extended Facility Lenders party to any Extended Facility Agreement may, from time to time, make amendments to such Extended Facility Agreement or to this Agreement and the other Loan Documents to give effect to the Extended Facility Agreement without the consent of any other Lenders so long as such Extended Facility Agreement, as amended, complies with the terms set forth in this </w:t>
      </w:r>
      <w:r>
        <w:rPr>
          <w:rFonts w:ascii="Times New Roman;serif" w:hAnsi="Times New Roman;serif"/>
          <w:b w:val="false"/>
          <w:color w:val="000000"/>
          <w:sz w:val="22"/>
          <w:u w:val="single"/>
        </w:rPr>
        <w:t>Section 2.27</w:t>
      </w:r>
      <w:r>
        <w:rPr>
          <w:rFonts w:ascii="Times New Roman;serif" w:hAnsi="Times New Roman;serif"/>
          <w:b w:val="false"/>
          <w:color w:val="000000"/>
          <w:sz w:val="22"/>
        </w:rPr>
        <w:t>.</w:t>
      </w:r>
    </w:p>
    <w:p>
      <w:pPr>
        <w:pStyle w:val="TextBody"/>
        <w:bidi w:val="0"/>
        <w:spacing w:lineRule="auto" w:line="240"/>
        <w:ind w:left="0" w:right="0" w:firstLine="720"/>
        <w:jc w:val="both"/>
        <w:rPr/>
      </w:pPr>
      <w:bookmarkStart w:id="247" w:name="icde59b6a008a4f18bb3dce3135285760"/>
      <w:bookmarkEnd w:id="247"/>
      <w:r>
        <w:rPr>
          <w:rFonts w:ascii="Times New Roman;serif" w:hAnsi="Times New Roman;serif"/>
          <w:b/>
          <w:color w:val="000000"/>
          <w:sz w:val="22"/>
        </w:rPr>
        <w:t>Section 2.28</w:t>
      </w:r>
      <w:r>
        <w:rPr>
          <w:rFonts w:ascii="Times New Roman;serif" w:hAnsi="Times New Roman;serif"/>
          <w:b/>
          <w:color w:val="000000"/>
          <w:sz w:val="22"/>
          <w:u w:val="single"/>
        </w:rPr>
        <w:t>Refinancing Amendments.</w:t>
      </w:r>
      <w:bookmarkStart w:id="248" w:name="ied92b94136164fb69c03935fc6bf5c7d"/>
      <w:bookmarkEnd w:id="248"/>
      <w:r>
        <w:rPr>
          <w:color w:val="000000"/>
        </w:rPr>
        <w:t xml:space="preserve"> </w:t>
      </w:r>
      <w:r>
        <w:rPr>
          <w:rFonts w:ascii="Times New Roman;serif" w:hAnsi="Times New Roman;serif"/>
          <w:b w:val="false"/>
          <w:color w:val="000000"/>
          <w:sz w:val="22"/>
        </w:rPr>
        <w:t xml:space="preserve">At any time after the Closing Date, the Borrower may obtain, from any Lender or any Refinancing Lender, Credit Agreement Refinancing Indebtedness in respect of all or any portion of the Loans or Revolving Commitments then outstanding under this Agreement (which for purposes of this </w:t>
      </w:r>
      <w:r>
        <w:rPr>
          <w:rFonts w:ascii="Times New Roman;serif" w:hAnsi="Times New Roman;serif"/>
          <w:b w:val="false"/>
          <w:color w:val="000000"/>
          <w:sz w:val="22"/>
          <w:u w:val="single"/>
        </w:rPr>
        <w:t>Section 2.28</w:t>
      </w:r>
      <w:r>
        <w:rPr>
          <w:color w:val="000000"/>
        </w:rPr>
        <w:t xml:space="preserve"> </w:t>
      </w:r>
      <w:r>
        <w:rPr>
          <w:rFonts w:ascii="Times New Roman;serif" w:hAnsi="Times New Roman;serif"/>
          <w:b w:val="false"/>
          <w:color w:val="000000"/>
          <w:sz w:val="22"/>
        </w:rPr>
        <w:t xml:space="preserve">will be deemed to include any then outstanding Other Refinancing Term Loans, Other Refinancing Revolving Commitments, Incremental Term Loans, Incremental Revolving Commitments, Extended Term Loans or Extended Revolving Commitments), in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036955"/>
                <wp:effectExtent l="0" t="0" r="0" b="0"/>
                <wp:wrapNone/>
                <wp:docPr id="217" name="Frame21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the form of Other Refinancing Loans or Other Refinancing Commitments in each case pursuant to a Refinancing Amendment; provided that such Credit Agreement Refinancing Indebtedness (i) will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or junior in right of payment and of security with the other Loans and Commitments hereunder and not be secured by a Lien on any asset of the Borrower or any of its Subsidiaries that does not also secure the other then-outstanding Obligations, (ii) is not at any time guaranteed by any Person other than the Guarantors and (iii) will have such pricing, premiums and optional prepayment or redemption terms as may be agreed by the Borrower and the Lenders thereof. Any Other Refinancing Loans or Other Refinancing Commitments, as applicable, may participate on a pro rata basis or on a less than pro rata basis (but not on a greater than pro rata basis) in any voluntary or mandatory prepayments hereunder, as specified in the applicable Refinancing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subject to the provisions of </w:t>
      </w:r>
      <w:r>
        <w:rPr>
          <w:rFonts w:ascii="Times New Roman;serif" w:hAnsi="Times New Roman;serif"/>
          <w:b w:val="false"/>
          <w:color w:val="000000"/>
          <w:sz w:val="22"/>
          <w:u w:val="single"/>
        </w:rPr>
        <w:t>Sections 2.22(a)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2.4(a)</w:t>
      </w:r>
      <w:r>
        <w:rPr>
          <w:rFonts w:ascii="Times New Roman;serif" w:hAnsi="Times New Roman;serif"/>
          <w:b w:val="false"/>
          <w:color w:val="000000"/>
          <w:sz w:val="22"/>
        </w:rPr>
        <w:t xml:space="preserve">, to the extent dealing with Letters of Credit and Swingline Loans which mature or expire after a Revolving Commitment Termination Date when there exists Other Refinancing Revolving Commitments with a longer Revolving Commitment Termination Date, all Letters of Credit and Swingline Loans shall be participated in on a pro rata basis by all Lenders with Revolving Commitments in accordance with their Pro Rata Share of the Aggregate Revolving Commitment Amount (computed on the Revolving Commitments then-outstanding) and all Borrowings under Revolving Commitments and repayments thereunder shall be made on a pro rata basis (except for (A) payments of interest and fees at different rates on Other Refinancing Revolving Commitments (and related outstandings) and (B) repayments required upon the Revolving Termination Commitment Date for the non-refinanced Revolving Commitments) and (y) at no time shall there be Revolving Commitments hereunder (including Extended Revolving Commitments, Other Revolving Refinancing Commitments and any original Revolving Commitments) which have more than three (3) different Revolving Termination Commitment Dates. The effectiveness of any Refinancing Amendment shall be subject to the satisfaction or waiver on the date thereof of each of the conditions set forth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and, to the extent reasonably requested by the Administrative Agent, receipt by the Administrative Agent of (a) board resolutions, officers’ certificates and/or reaffirmation agreements consistent with those delivered on the Closing Date under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and/or such amendments to the Collateral Documents as may be reasonably requested by the Administrative Agent in order to ensure that such Credit Agreement Refinancing Indebtedness is provided with the benefit of the applicable Loan Documents and (b) customary legal opinions reasonably acceptable to the Administrative Agent. Each issuance of Credit Agreement Refinancing Indebtedness incurred under this </w:t>
      </w:r>
      <w:r>
        <w:rPr>
          <w:rFonts w:ascii="Times New Roman;serif" w:hAnsi="Times New Roman;serif"/>
          <w:b w:val="false"/>
          <w:color w:val="000000"/>
          <w:sz w:val="22"/>
          <w:u w:val="single"/>
        </w:rPr>
        <w:t>Section 2.28</w:t>
      </w:r>
      <w:r>
        <w:rPr>
          <w:color w:val="000000"/>
        </w:rPr>
        <w:t xml:space="preserve"> </w:t>
      </w:r>
      <w:r>
        <w:rPr>
          <w:rFonts w:ascii="Times New Roman;serif" w:hAnsi="Times New Roman;serif"/>
          <w:b w:val="false"/>
          <w:color w:val="000000"/>
          <w:sz w:val="22"/>
        </w:rPr>
        <w:t xml:space="preserve">shall be in an aggregate principal amount that is not less than $20,000,000.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or advisable to reflect the existence and terms of the Credit Agreement Refinancing Indebtedness incurred pursuant thereto (including any amendments necessary to treat the Loans and Commitments subject thereto as Other Refinancing Loans and/or Other Refinancing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serif" w:hAnsi="Times New Roman;serif"/>
          <w:b w:val="false"/>
          <w:color w:val="000000"/>
          <w:sz w:val="22"/>
          <w:u w:val="single"/>
        </w:rPr>
        <w:t>Section 2.28</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2.28</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Sections 2.21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to the contrary.</w:t>
      </w:r>
    </w:p>
    <w:p>
      <w:pPr>
        <w:pStyle w:val="TextBody"/>
        <w:bidi w:val="0"/>
        <w:spacing w:lineRule="auto" w:line="240" w:before="0" w:after="240"/>
        <w:jc w:val="center"/>
        <w:rPr/>
      </w:pPr>
      <w:bookmarkStart w:id="249" w:name="ifdeca9d60bc44502a05dbe790378615c"/>
      <w:bookmarkEnd w:id="249"/>
      <w:r>
        <w:rPr>
          <w:rFonts w:ascii="Times New Roman;serif" w:hAnsi="Times New Roman;serif"/>
          <w:b/>
          <w:color w:val="000000"/>
          <w:sz w:val="22"/>
        </w:rPr>
        <w:t>Article III</w:t>
      </w:r>
      <w:r>
        <w:rPr>
          <w:rFonts w:ascii="Times New Roman;serif" w:hAnsi="Times New Roman;serif"/>
          <w:b/>
          <w:color w:val="000000"/>
          <w:sz w:val="22"/>
          <w:u w:val="single"/>
        </w:rPr>
        <w:br/>
        <w:br/>
        <w:t>CONDITIONS PRECEDENT TO LOANS AND LETTERS OF CREDIT</w:t>
      </w:r>
    </w:p>
    <w:p>
      <w:pPr>
        <w:pStyle w:val="TextBody"/>
        <w:bidi w:val="0"/>
        <w:spacing w:lineRule="auto" w:line="240" w:before="0" w:after="0"/>
        <w:ind w:left="0" w:right="0" w:firstLine="720"/>
        <w:jc w:val="both"/>
        <w:rPr/>
      </w:pPr>
      <w:bookmarkStart w:id="250" w:name="iff87d20f67384755ba0bc87138e2f014"/>
      <w:bookmarkEnd w:id="250"/>
      <w:r>
        <w:rPr>
          <w:rFonts w:ascii="Times New Roman;serif" w:hAnsi="Times New Roman;serif"/>
          <w:b/>
          <w:color w:val="000000"/>
          <w:sz w:val="22"/>
        </w:rPr>
        <w:t>Section 3.1</w:t>
      </w:r>
      <w:r>
        <w:rPr>
          <w:rFonts w:ascii="Times New Roman;serif" w:hAnsi="Times New Roman;serif"/>
          <w:b/>
          <w:color w:val="000000"/>
          <w:sz w:val="22"/>
          <w:u w:val="single"/>
        </w:rPr>
        <w:t>Conditions to Effectiveness</w:t>
      </w:r>
      <w:r>
        <w:rPr>
          <w:rFonts w:ascii="Times New Roman;serif" w:hAnsi="Times New Roman;serif"/>
          <w:b w:val="false"/>
          <w:color w:val="000000"/>
          <w:sz w:val="22"/>
        </w:rPr>
        <w:t xml:space="preserve">. This Agreement shall not become effective until the date on which each of the following conditions is satisfied (or waived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51" w:name="i5ad57923bd554d60bf3b5e30a8ba6c56"/>
      <w:bookmarkEnd w:id="251"/>
      <w:r>
        <w:rPr>
          <w:rFonts w:ascii="Times New Roman;serif" w:hAnsi="Times New Roman;serif"/>
          <w:b w:val="false"/>
          <w:color w:val="000000"/>
          <w:sz w:val="22"/>
        </w:rPr>
        <w:t>(a)</w:t>
      </w:r>
      <w:r>
        <w:rPr>
          <w:rFonts w:ascii="Times New Roman;serif" w:hAnsi="Times New Roman;serif"/>
          <w:b w:val="false"/>
          <w:color w:val="000000"/>
          <w:sz w:val="22"/>
        </w:rPr>
        <w:t>The Administrative Agent shall have received payment of all fees, expenses and other amounts due and payable on or prior to the Closing Date, including all fees payable on the Closing Date pursuant to the Fee Letters and, to the extent invoiced at least one (1) Business Day prior to the Closing Date, reimbursement or payment of all out-of-pocket expenses of the Administrative Agent and the Arrangers (including reasonable and documented fees, charges and disbursements of counsel to the Administrative Agent) required to be reimbursed or paid by the Borrower hereunder.</w:t>
      </w:r>
    </w:p>
    <w:p>
      <w:pPr>
        <w:pStyle w:val="TextBody"/>
        <w:bidi w:val="0"/>
        <w:spacing w:lineRule="auto" w:line="240" w:before="0" w:after="240"/>
        <w:ind w:left="0" w:right="0" w:firstLine="1440"/>
        <w:jc w:val="both"/>
        <w:rPr/>
      </w:pPr>
      <w:bookmarkStart w:id="252" w:name="i08ce6ab8f66f48dab6b565d92e15f753"/>
      <w:bookmarkEnd w:id="252"/>
      <w:r>
        <w:rPr>
          <w:rFonts w:ascii="Times New Roman;serif" w:hAnsi="Times New Roman;serif"/>
          <w:b w:val="false"/>
          <w:color w:val="000000"/>
          <w:sz w:val="22"/>
        </w:rPr>
        <w:t>(b)</w:t>
      </w:r>
      <w:r>
        <w:rPr>
          <w:rFonts w:ascii="Times New Roman;serif" w:hAnsi="Times New Roman;serif"/>
          <w:b w:val="false"/>
          <w:color w:val="000000"/>
          <w:sz w:val="22"/>
        </w:rPr>
        <w:t>The Administrative Agent (or its counsel) shall have received the following, each to be in form and substance reasonably satisfactory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036955"/>
                <wp:effectExtent l="0" t="0" r="0" b="0"/>
                <wp:wrapNone/>
                <wp:docPr id="218" name="Frame21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53" w:name="i3018348e5c6b4630ae21145568183902"/>
      <w:bookmarkEnd w:id="253"/>
      <w:r>
        <w:rPr>
          <w:rFonts w:ascii="Times New Roman;serif" w:hAnsi="Times New Roman;serif"/>
          <w:b w:val="false"/>
          <w:color w:val="000000"/>
          <w:sz w:val="22"/>
        </w:rPr>
        <w:t>(i)a counterpart of this Agreement signed by or on behalf of each party hereto or written evidence satisfactory to the Administrative Agent (which may include facsimile transmission of a signed signature page of this Agreement) that such party has signed a counterpart of this Agreement;</w:t>
      </w:r>
    </w:p>
    <w:p>
      <w:pPr>
        <w:pStyle w:val="TextBody"/>
        <w:bidi w:val="0"/>
        <w:spacing w:lineRule="auto" w:line="240" w:before="0" w:after="240"/>
        <w:ind w:left="0" w:right="0" w:firstLine="1440"/>
        <w:jc w:val="both"/>
        <w:rPr/>
      </w:pPr>
      <w:bookmarkStart w:id="254" w:name="i131abde4d04c4d4fb724dae14de53fda"/>
      <w:bookmarkEnd w:id="254"/>
      <w:r>
        <w:rPr>
          <w:rFonts w:ascii="Times New Roman;serif" w:hAnsi="Times New Roman;serif"/>
          <w:b w:val="false"/>
          <w:color w:val="000000"/>
          <w:sz w:val="22"/>
        </w:rPr>
        <w:t xml:space="preserve">(ii)(A) a certificate of the Secretary or Assistant Secretary of each Loan Party in the form of </w:t>
      </w:r>
      <w:r>
        <w:rPr>
          <w:rFonts w:ascii="Times New Roman;serif" w:hAnsi="Times New Roman;serif"/>
          <w:b w:val="false"/>
          <w:color w:val="000000"/>
          <w:sz w:val="22"/>
          <w:u w:val="single"/>
        </w:rPr>
        <w:t>Exhibit 3.1(b)(ii)</w:t>
      </w:r>
      <w:r>
        <w:rPr>
          <w:rFonts w:ascii="Times New Roman;serif" w:hAnsi="Times New Roman;serif"/>
          <w:b w:val="false"/>
          <w:color w:val="000000"/>
          <w:sz w:val="22"/>
        </w:rPr>
        <w:t xml:space="preserve">, attaching and certifying copies of its bylaws, or partnership agreement or limited liability company agreement, and of the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officer of such Loan Party executing the Loan Documents to which it is a party and (B) in the case of any Loan Party incorporated in the Cayman Islands, such certificate shall additionally certify, solely with respect to each such applicable Loan Party that borrowing or guaranteeing or securing, as appropriate, the Obligations would not cause any borrowing, guarantee, security or similar limit binding on it to be exceeded; and that each copy document relating to it specified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is correct, complete and in full force and effect as at a date no earlier than the date of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55" w:name="i6d497b26db33411fbce5b17d8251e5c2"/>
      <w:bookmarkEnd w:id="255"/>
      <w:r>
        <w:rPr>
          <w:rFonts w:ascii="Times New Roman;serif" w:hAnsi="Times New Roman;serif"/>
          <w:b w:val="false"/>
          <w:color w:val="000000"/>
          <w:sz w:val="22"/>
        </w:rPr>
        <w:t>(iii)certified copies of the articles or certificate of incorporation (and any certificates of change of name, if necessary), certificate of organization or limited partnership, or other registered organizational documents (including registers of directors, members, and mortgages and charges) of each Loan Party, together with certificates of good standing or existence, as may be available from the Secretary of State of the jurisdiction of organization of such Loan Party;</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56" w:name="id63a903f833945d4976af6845611937b"/>
      <w:bookmarkEnd w:id="256"/>
      <w:r>
        <w:rPr>
          <w:rFonts w:ascii="Times New Roman;serif" w:hAnsi="Times New Roman;serif"/>
          <w:b w:val="false"/>
          <w:color w:val="000000"/>
          <w:sz w:val="22"/>
        </w:rPr>
        <w:t>(iv)favorable written opinions of Cooley LLP, counsel to the Loan Parties, and Conyers, Dill &amp; Pearman, Cayman Islands counsel to the Loan Parties, each addressed to the Administrative Agent and each of the Lenders, and covering such matters relating to the Loan Parties, the Loan Documents and the transactions contemplated therein as the Administrative Agent shall reasonably request (which opinions will expressly permit reliance by permitted successors and assigns of the Lenders);</w:t>
      </w:r>
    </w:p>
    <w:p>
      <w:pPr>
        <w:pStyle w:val="TextBody"/>
        <w:bidi w:val="0"/>
        <w:spacing w:lineRule="auto" w:line="240" w:before="0" w:after="240"/>
        <w:ind w:left="0" w:right="0" w:firstLine="1440"/>
        <w:jc w:val="both"/>
        <w:rPr/>
      </w:pPr>
      <w:bookmarkStart w:id="257" w:name="ic05cc599ff1b47948f4c4fa69197ef1a"/>
      <w:bookmarkEnd w:id="257"/>
      <w:r>
        <w:rPr>
          <w:rFonts w:ascii="Times New Roman;serif" w:hAnsi="Times New Roman;serif"/>
          <w:b w:val="false"/>
          <w:color w:val="000000"/>
          <w:sz w:val="22"/>
        </w:rPr>
        <w:t xml:space="preserve">(v)a certificate in the form of </w:t>
      </w:r>
      <w:r>
        <w:rPr>
          <w:rFonts w:ascii="Times New Roman;serif" w:hAnsi="Times New Roman;serif"/>
          <w:b w:val="false"/>
          <w:color w:val="000000"/>
          <w:sz w:val="22"/>
          <w:u w:val="single"/>
        </w:rPr>
        <w:t>Exhibit 3.1(b)(v)</w:t>
      </w:r>
      <w:r>
        <w:rPr>
          <w:rFonts w:ascii="Times New Roman;serif" w:hAnsi="Times New Roman;serif"/>
          <w:b w:val="false"/>
          <w:color w:val="000000"/>
          <w:sz w:val="22"/>
        </w:rPr>
        <w:t xml:space="preserve">, dated as of the Closing Date and signed by a Responsible Officer, certifying that the conditions set forth in </w:t>
      </w:r>
      <w:r>
        <w:rPr>
          <w:rFonts w:ascii="Times New Roman;serif" w:hAnsi="Times New Roman;serif"/>
          <w:b w:val="false"/>
          <w:color w:val="000000"/>
          <w:sz w:val="22"/>
          <w:u w:val="single"/>
        </w:rPr>
        <w:t>Sections 3.1(c)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3.2(b)</w:t>
      </w:r>
      <w:r>
        <w:rPr>
          <w:color w:val="000000"/>
        </w:rPr>
        <w:t xml:space="preserve"> </w:t>
      </w:r>
      <w:r>
        <w:rPr>
          <w:rFonts w:ascii="Times New Roman;serif" w:hAnsi="Times New Roman;serif"/>
          <w:b w:val="false"/>
          <w:color w:val="000000"/>
          <w:sz w:val="22"/>
        </w:rPr>
        <w:t xml:space="preserve">have been satisfied;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58" w:name="icd706d82b99844cf81705d977bff318b"/>
      <w:bookmarkEnd w:id="258"/>
      <w:r>
        <w:rPr>
          <w:rFonts w:ascii="Times New Roman;serif" w:hAnsi="Times New Roman;serif"/>
          <w:b w:val="false"/>
          <w:color w:val="000000"/>
          <w:sz w:val="22"/>
        </w:rPr>
        <w:t xml:space="preserve">(vi)copies of the Historical Financial Statements and financial projections on a quarterly basis for the Fiscal Year ending December 31, 2026 and annually thereafter through December 31, 2030; </w:t>
      </w:r>
    </w:p>
    <w:p>
      <w:pPr>
        <w:pStyle w:val="TextBody"/>
        <w:bidi w:val="0"/>
        <w:spacing w:lineRule="auto" w:line="240" w:before="0" w:after="240"/>
        <w:ind w:left="0" w:right="0" w:firstLine="1440"/>
        <w:jc w:val="both"/>
        <w:rPr/>
      </w:pPr>
      <w:bookmarkStart w:id="259" w:name="i17edbfed7c3e498da83d06b39b936392"/>
      <w:bookmarkEnd w:id="259"/>
      <w:r>
        <w:rPr>
          <w:rFonts w:ascii="Times New Roman;serif" w:hAnsi="Times New Roman;serif"/>
          <w:b w:val="false"/>
          <w:color w:val="000000"/>
          <w:sz w:val="22"/>
        </w:rPr>
        <w:t xml:space="preserve">(vii)a certificate in the form of </w:t>
      </w:r>
      <w:r>
        <w:rPr>
          <w:rFonts w:ascii="Times New Roman;serif" w:hAnsi="Times New Roman;serif"/>
          <w:b w:val="false"/>
          <w:color w:val="000000"/>
          <w:sz w:val="22"/>
          <w:u w:val="single"/>
        </w:rPr>
        <w:t>Exhibit 3.1(b)(vii)</w:t>
      </w:r>
      <w:r>
        <w:rPr>
          <w:rFonts w:ascii="Times New Roman;serif" w:hAnsi="Times New Roman;serif"/>
          <w:b w:val="false"/>
          <w:color w:val="000000"/>
          <w:sz w:val="22"/>
        </w:rPr>
        <w:t>, dated as of the Closing Date and signed by the chief financial officer of the Borrower, confirming that after giving effect to the funding of the Term A Loan and Revolving Loans and the consummation of the transactions contemplated to occur on the Closing Date, the Borrower and its Subsidiaries, on a consolidated basis, are Solvent;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0" w:name="if9323d8dcd5d4c4ea7f1d53e90c9cc06"/>
      <w:bookmarkEnd w:id="260"/>
      <w:r>
        <w:rPr>
          <w:rFonts w:ascii="Times New Roman;serif" w:hAnsi="Times New Roman;serif"/>
          <w:b w:val="false"/>
          <w:color w:val="000000"/>
          <w:sz w:val="22"/>
        </w:rPr>
        <w:t>(viii)a Perfection Certificate, duly completed and executed by the Borrower;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1" w:name="if5ca04b582524b78abde6596d60129b8"/>
      <w:bookmarkEnd w:id="261"/>
      <w:r>
        <w:rPr>
          <w:rFonts w:ascii="Times New Roman;serif" w:hAnsi="Times New Roman;serif"/>
          <w:b w:val="false"/>
          <w:color w:val="000000"/>
          <w:sz w:val="22"/>
        </w:rPr>
        <w:t xml:space="preserve">(ix)a counterpart of the Guaranty and Security Agreement duly executed by each applicable Loan Party;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2" w:name="i49099caba1c74441bd6b8bc9005f5dbe"/>
      <w:bookmarkEnd w:id="262"/>
      <w:r>
        <w:rPr>
          <w:rFonts w:ascii="Times New Roman;serif" w:hAnsi="Times New Roman;serif"/>
          <w:b w:val="false"/>
          <w:color w:val="000000"/>
          <w:sz w:val="22"/>
        </w:rPr>
        <w:t>(x)a counterpart of the Cayman Security Documents duly executed by each Cayman incorporated Loan Party;</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3" w:name="i244f5026e6b74719bf398f22fc874fc0"/>
      <w:bookmarkEnd w:id="263"/>
      <w:r>
        <w:rPr>
          <w:rFonts w:ascii="Times New Roman;serif" w:hAnsi="Times New Roman;serif"/>
          <w:b w:val="false"/>
          <w:color w:val="000000"/>
          <w:sz w:val="22"/>
        </w:rPr>
        <w:t xml:space="preserve">(xi)evidence that each Loan Party shall have taken or caused to be taken any other action, executed and delivered or caused to be executed and delivered any other agreement, document and instrument and made or caused to be made any other filing and recording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036955"/>
                <wp:effectExtent l="0" t="0" r="0" b="0"/>
                <wp:wrapNone/>
                <wp:docPr id="219" name="Frame21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set forth herein) reasonably required by the Administrative Agent, in each case as are necessary to grant and to perfect a first priority perfected Lien in favor of the Administrative Agent;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4" w:name="ie0793a31e9cf4dd4945e90aea697e5bc"/>
      <w:bookmarkEnd w:id="264"/>
      <w:r>
        <w:rPr>
          <w:rFonts w:ascii="Times New Roman;serif" w:hAnsi="Times New Roman;serif"/>
          <w:b w:val="false"/>
          <w:color w:val="000000"/>
          <w:sz w:val="22"/>
        </w:rPr>
        <w:t xml:space="preserve">(xii)so long as requested by the Administrative Agent at least ten (10) days before the Closing Date, at least three (3) Business Days prior to the Closing Date (or such shorter period as may be satisfactory to the Administrative Agent in its sole discretion), all documentation and other information concerning the Loan Parties that the Lenders reasonably determine are required by bank regulatory authorities under or in respect of applicable “know your customer” and anti-money laundering legal requirements including the Patriot Act, and, if the Borrower qualifies as a “legal entity customer” under the Beneficial Ownership Regulation, a Beneficial Ownership Certification in relation to Borrower;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5" w:name="i3bc9210025c344b7a5c8283e5e00f7ee"/>
      <w:bookmarkEnd w:id="265"/>
      <w:r>
        <w:rPr>
          <w:rFonts w:ascii="Times New Roman;serif" w:hAnsi="Times New Roman;serif"/>
          <w:b w:val="false"/>
          <w:color w:val="000000"/>
          <w:sz w:val="22"/>
        </w:rPr>
        <w:t>(xiii)a duly executed payoff letter, together with (A) UCC-3 or other appropriate termination statements releasing all liens in respect of the Existing Credit Agreement upon any of the personal property of the Loan Parties and their respective Subsidiaries and (B) any other releases, terminations or other documents reasonably required by the Administrative Agent to evidence the payoff of all Indebtedness owed in respect of the Existing Credit Agreement; and</w:t>
      </w:r>
    </w:p>
    <w:p>
      <w:pPr>
        <w:pStyle w:val="TextBody"/>
        <w:bidi w:val="0"/>
        <w:spacing w:lineRule="auto" w:line="240" w:before="0" w:after="240"/>
        <w:ind w:left="0" w:right="0" w:firstLine="1440"/>
        <w:jc w:val="both"/>
        <w:rPr/>
      </w:pPr>
      <w:bookmarkStart w:id="266" w:name="i9935751305e4463fa7da5767f86b6d95"/>
      <w:bookmarkEnd w:id="266"/>
      <w:r>
        <w:rPr>
          <w:rFonts w:ascii="Times New Roman;serif" w:hAnsi="Times New Roman;serif"/>
          <w:b w:val="false"/>
          <w:color w:val="000000"/>
          <w:sz w:val="22"/>
        </w:rPr>
        <w:t xml:space="preserve">(xiv)subject to </w:t>
      </w:r>
      <w:r>
        <w:rPr>
          <w:rFonts w:ascii="Times New Roman;serif" w:hAnsi="Times New Roman;serif"/>
          <w:b w:val="false"/>
          <w:color w:val="000000"/>
          <w:sz w:val="22"/>
          <w:u w:val="single"/>
        </w:rPr>
        <w:t>Section 5.17</w:t>
      </w:r>
      <w:r>
        <w:rPr>
          <w:rFonts w:ascii="Times New Roman;serif" w:hAnsi="Times New Roman;serif"/>
          <w:b w:val="false"/>
          <w:color w:val="000000"/>
          <w:sz w:val="22"/>
        </w:rPr>
        <w:t>, certificates of insurance, in form and detail acceptable to the Administrative Agent, describing the types and amounts of insurance (property and liability) maintained by any of the Loan Parties, in each case naming the Administrative Agent as loss payee or additional insured, as the case may be, together with a lender’s loss payable endorsement in form and substance satisfactory to the Administrative Agent;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7" w:name="iad9c0c651990464a9094bcb5bd68605f"/>
      <w:bookmarkEnd w:id="267"/>
      <w:r>
        <w:rPr>
          <w:rFonts w:ascii="Times New Roman;serif" w:hAnsi="Times New Roman;serif"/>
          <w:b w:val="false"/>
          <w:color w:val="000000"/>
          <w:sz w:val="22"/>
        </w:rPr>
        <w:t>(xv)certified copy of the updated register of mortgages and charges of each Loan Party incorporated in the Cayman Islands reflecting entry into the Cayman Security Documents (as applicable).</w:t>
      </w:r>
    </w:p>
    <w:p>
      <w:pPr>
        <w:pStyle w:val="TextBody"/>
        <w:bidi w:val="0"/>
        <w:spacing w:lineRule="auto" w:line="240" w:before="0" w:after="240"/>
        <w:ind w:left="0" w:right="0" w:firstLine="1440"/>
        <w:jc w:val="both"/>
        <w:rPr/>
      </w:pPr>
      <w:bookmarkStart w:id="268" w:name="ief28a593e59243dc96089bf6c809ec7d"/>
      <w:bookmarkEnd w:id="268"/>
      <w:r>
        <w:rPr>
          <w:rFonts w:ascii="Times New Roman;serif" w:hAnsi="Times New Roman;serif"/>
          <w:b w:val="false"/>
          <w:color w:val="000000"/>
          <w:sz w:val="22"/>
        </w:rPr>
        <w:t>(c)</w:t>
      </w:r>
      <w:r>
        <w:rPr>
          <w:rFonts w:ascii="Times New Roman;serif" w:hAnsi="Times New Roman;serif"/>
          <w:b w:val="false"/>
          <w:color w:val="000000"/>
          <w:sz w:val="22"/>
        </w:rPr>
        <w:t xml:space="preserve">Each Loan Party shall have obtained all Governmental Authorizations and all material consents of other Persons, in each case, that are necessary or advisable in connection with the transactions contemplated to occur on the Closing Date, and each of the foregoing shall be in full force and effect.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Without limiting the generality of the provisions of this Section, for purposes of determining compliance with the conditions specified in this Section, each Lender that has signed this 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0"/>
        <w:ind w:left="0" w:right="0" w:firstLine="720"/>
        <w:jc w:val="both"/>
        <w:rPr/>
      </w:pPr>
      <w:bookmarkStart w:id="269" w:name="i0880a6e9777f4fce8b3127c0a6a9156a"/>
      <w:bookmarkEnd w:id="269"/>
      <w:r>
        <w:rPr>
          <w:rFonts w:ascii="Times New Roman;serif" w:hAnsi="Times New Roman;serif"/>
          <w:b/>
          <w:color w:val="000000"/>
          <w:sz w:val="22"/>
        </w:rPr>
        <w:t>Section 3.2</w:t>
      </w:r>
      <w:r>
        <w:rPr>
          <w:rFonts w:ascii="Times New Roman;serif" w:hAnsi="Times New Roman;serif"/>
          <w:b/>
          <w:color w:val="000000"/>
          <w:sz w:val="22"/>
          <w:u w:val="single"/>
        </w:rPr>
        <w:t>Conditions to Each Credit Event</w:t>
      </w:r>
      <w:r>
        <w:rPr>
          <w:rFonts w:ascii="Times New Roman;serif" w:hAnsi="Times New Roman;serif"/>
          <w:b w:val="false"/>
          <w:color w:val="000000"/>
          <w:sz w:val="22"/>
        </w:rPr>
        <w:t xml:space="preserve">. The obligation of each Lender to make a Loan on the occasion of any Borrowing (other than any Borrowing of (i) any Incremental Term Loans, which shall be subject to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(ii) any Extended Term Loans, which shall be subject to </w:t>
      </w:r>
      <w:r>
        <w:rPr>
          <w:rFonts w:ascii="Times New Roman;serif" w:hAnsi="Times New Roman;serif"/>
          <w:b w:val="false"/>
          <w:color w:val="000000"/>
          <w:sz w:val="22"/>
          <w:u w:val="single"/>
        </w:rPr>
        <w:t>Section 2.27</w:t>
      </w:r>
      <w:r>
        <w:rPr>
          <w:rFonts w:ascii="Times New Roman;serif" w:hAnsi="Times New Roman;serif"/>
          <w:b w:val="false"/>
          <w:color w:val="000000"/>
          <w:sz w:val="22"/>
        </w:rPr>
        <w:t xml:space="preserve">, (iii) any Other Refinancing Term Loans, which shall be subject to </w:t>
      </w:r>
      <w:r>
        <w:rPr>
          <w:rFonts w:ascii="Times New Roman;serif" w:hAnsi="Times New Roman;serif"/>
          <w:b w:val="false"/>
          <w:color w:val="000000"/>
          <w:sz w:val="22"/>
          <w:u w:val="single"/>
        </w:rPr>
        <w:t>Section 2.28</w:t>
      </w:r>
      <w:r>
        <w:rPr>
          <w:color w:val="000000"/>
        </w:rPr>
        <w:t xml:space="preserve"> </w:t>
      </w:r>
      <w:r>
        <w:rPr>
          <w:rFonts w:ascii="Times New Roman;serif" w:hAnsi="Times New Roman;serif"/>
          <w:b w:val="false"/>
          <w:color w:val="000000"/>
          <w:sz w:val="22"/>
        </w:rPr>
        <w:t xml:space="preserve">or (iv) any Delayed Draw Term Loans, which shall be subject to </w:t>
      </w:r>
      <w:r>
        <w:rPr>
          <w:rFonts w:ascii="Times New Roman;serif" w:hAnsi="Times New Roman;serif"/>
          <w:b w:val="false"/>
          <w:color w:val="000000"/>
          <w:sz w:val="22"/>
          <w:u w:val="single"/>
        </w:rPr>
        <w:t>Section 3.3</w:t>
      </w:r>
      <w:r>
        <w:rPr>
          <w:rFonts w:ascii="Times New Roman;serif" w:hAnsi="Times New Roman;serif"/>
          <w:b w:val="false"/>
          <w:color w:val="000000"/>
          <w:sz w:val="22"/>
        </w:rPr>
        <w:t xml:space="preserve">) and of each Issuing Bank to issue, amend, renew or extend any Letter of Credit is subject to </w:t>
      </w:r>
      <w:r>
        <w:rPr>
          <w:rFonts w:ascii="Times New Roman;serif" w:hAnsi="Times New Roman;serif"/>
          <w:b w:val="false"/>
          <w:color w:val="000000"/>
          <w:sz w:val="22"/>
          <w:u w:val="single"/>
        </w:rPr>
        <w:t>Section 2.26(c)</w:t>
      </w:r>
      <w:r>
        <w:rPr>
          <w:color w:val="000000"/>
        </w:rPr>
        <w:t xml:space="preserve"> </w:t>
      </w:r>
      <w:r>
        <w:rPr>
          <w:rFonts w:ascii="Times New Roman;serif" w:hAnsi="Times New Roman;serif"/>
          <w:b w:val="false"/>
          <w:color w:val="000000"/>
          <w:sz w:val="22"/>
        </w:rPr>
        <w:t xml:space="preserve">and the satisfaction (or waiver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 of the following conditions:</w:t>
      </w:r>
    </w:p>
    <w:p>
      <w:pPr>
        <w:pStyle w:val="TextBody"/>
        <w:bidi w:val="0"/>
        <w:spacing w:lineRule="auto" w:line="240" w:before="0" w:after="240"/>
        <w:ind w:left="0" w:right="0" w:firstLine="1440"/>
        <w:jc w:val="both"/>
        <w:rPr/>
      </w:pPr>
      <w:bookmarkStart w:id="270" w:name="i84538a8484bf413393b5503a2fcbf7d2"/>
      <w:bookmarkEnd w:id="270"/>
      <w:r>
        <w:rPr>
          <w:rFonts w:ascii="Times New Roman;serif" w:hAnsi="Times New Roman;serif"/>
          <w:b w:val="false"/>
          <w:color w:val="000000"/>
          <w:sz w:val="22"/>
        </w:rPr>
        <w:t>(a)</w:t>
      </w:r>
      <w:r>
        <w:rPr>
          <w:rFonts w:ascii="Times New Roman;serif" w:hAnsi="Times New Roman;serif"/>
          <w:b w:val="false"/>
          <w:color w:val="000000"/>
          <w:sz w:val="22"/>
        </w:rPr>
        <w:t>At the time of and immediately after giving effect to such Borrowing or the issuance, amendment, renewal or extension of such Letter of Credit, as applicable, no Default or Event of Default shall exist.</w:t>
      </w:r>
    </w:p>
    <w:p>
      <w:pPr>
        <w:pStyle w:val="TextBody"/>
        <w:bidi w:val="0"/>
        <w:spacing w:lineRule="auto" w:line="240" w:before="0" w:after="240"/>
        <w:ind w:left="0" w:right="0" w:firstLine="1440"/>
        <w:jc w:val="both"/>
        <w:rPr/>
      </w:pPr>
      <w:bookmarkStart w:id="271" w:name="i6e134a7c8b59442ba18957402fe9975c"/>
      <w:bookmarkEnd w:id="271"/>
      <w:r>
        <w:rPr>
          <w:rFonts w:ascii="Times New Roman;serif" w:hAnsi="Times New Roman;serif"/>
          <w:b w:val="false"/>
          <w:color w:val="000000"/>
          <w:sz w:val="22"/>
        </w:rPr>
        <w:t>(b)</w:t>
      </w:r>
      <w:r>
        <w:rPr>
          <w:rFonts w:ascii="Times New Roman;serif" w:hAnsi="Times New Roman;serif"/>
          <w:b w:val="false"/>
          <w:color w:val="000000"/>
          <w:sz w:val="22"/>
        </w:rPr>
        <w:t xml:space="preserve">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unless such representation or warranty expressly relates to an earlier date, in which case such representation or warranty shall be true and correct in all material respects as of such earlier date (other than those representations and warranties that are expressly qualified by a Material Adverse Effect or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036955"/>
                <wp:effectExtent l="0" t="0" r="0" b="0"/>
                <wp:wrapNone/>
                <wp:docPr id="220" name="Frame21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materiality, in which case such representations and warranties shall be true and correct in all respects).</w:t>
      </w:r>
    </w:p>
    <w:p>
      <w:pPr>
        <w:pStyle w:val="TextBody"/>
        <w:bidi w:val="0"/>
        <w:spacing w:lineRule="auto" w:line="240" w:before="0" w:after="240"/>
        <w:ind w:left="0" w:right="0" w:firstLine="1440"/>
        <w:jc w:val="both"/>
        <w:rPr/>
      </w:pPr>
      <w:bookmarkStart w:id="272" w:name="i9871fc74654d4b8fa33ae079f15e6caa"/>
      <w:bookmarkEnd w:id="272"/>
      <w:r>
        <w:rPr>
          <w:rFonts w:ascii="Times New Roman;serif" w:hAnsi="Times New Roman;serif"/>
          <w:b w:val="false"/>
          <w:color w:val="000000"/>
          <w:sz w:val="22"/>
        </w:rPr>
        <w:t>(c)</w:t>
      </w:r>
      <w:r>
        <w:rPr>
          <w:rFonts w:ascii="Times New Roman;serif" w:hAnsi="Times New Roman;serif"/>
          <w:b w:val="false"/>
          <w:color w:val="000000"/>
          <w:sz w:val="22"/>
        </w:rPr>
        <w:t xml:space="preserve">The Borrower shall have delivered to the Administrative Agent a Notice of Borrowing in accordance with the terms hereof.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Borrowing and each issuance, amendment, renewal or extension of any Letter of Credit shall be deemed to constitute a representation and warranty by the Borrower on the date thereof as to the matters specified in subsections (a) and (b) of this Section.</w:t>
      </w:r>
    </w:p>
    <w:p>
      <w:pPr>
        <w:pStyle w:val="TextBody"/>
        <w:bidi w:val="0"/>
        <w:spacing w:lineRule="auto" w:line="240" w:before="0" w:after="0"/>
        <w:ind w:left="0" w:right="0" w:firstLine="720"/>
        <w:jc w:val="both"/>
        <w:rPr/>
      </w:pPr>
      <w:bookmarkStart w:id="273" w:name="ib5410665b304423b8d9f36471ac45ee5"/>
      <w:bookmarkEnd w:id="273"/>
      <w:r>
        <w:rPr>
          <w:rFonts w:ascii="Times New Roman;serif" w:hAnsi="Times New Roman;serif"/>
          <w:b/>
          <w:color w:val="000000"/>
          <w:sz w:val="22"/>
        </w:rPr>
        <w:t>Section 3.3</w:t>
      </w:r>
      <w:r>
        <w:rPr>
          <w:rFonts w:ascii="Times New Roman;serif" w:hAnsi="Times New Roman;serif"/>
          <w:b/>
          <w:color w:val="000000"/>
          <w:sz w:val="22"/>
          <w:u w:val="single"/>
        </w:rPr>
        <w:t>Conditions to Delayed Draw Term Loan</w:t>
      </w:r>
      <w:r>
        <w:rPr>
          <w:rFonts w:ascii="Times New Roman;serif" w:hAnsi="Times New Roman;serif"/>
          <w:b w:val="false"/>
          <w:color w:val="000000"/>
          <w:sz w:val="22"/>
        </w:rPr>
        <w:t xml:space="preserve">. The obligation of each Delayed Draw Term Lender with a Delayed Draw Term Loan Commitment to make a Delayed Draw Term Loan to the Borrower on the occasion of the requested Borrowing thereof is subject to the satisfaction (or waiver in accordance with </w:t>
      </w:r>
      <w:r>
        <w:rPr>
          <w:rFonts w:ascii="Times New Roman;serif" w:hAnsi="Times New Roman;serif"/>
          <w:b w:val="false"/>
          <w:color w:val="000000"/>
          <w:sz w:val="22"/>
          <w:u w:val="single"/>
        </w:rPr>
        <w:t>Section 10.2</w:t>
      </w:r>
      <w:r>
        <w:rPr>
          <w:rFonts w:ascii="Times New Roman;serif" w:hAnsi="Times New Roman;serif"/>
          <w:b w:val="false"/>
          <w:color w:val="000000"/>
          <w:sz w:val="22"/>
        </w:rPr>
        <w:t>) of solely the following conditions precedent:</w:t>
      </w:r>
    </w:p>
    <w:p>
      <w:pPr>
        <w:pStyle w:val="TextBody"/>
        <w:bidi w:val="0"/>
        <w:spacing w:lineRule="auto" w:line="240" w:before="0" w:after="240"/>
        <w:ind w:left="0" w:right="0" w:firstLine="1440"/>
        <w:jc w:val="both"/>
        <w:rPr/>
      </w:pPr>
      <w:bookmarkStart w:id="274" w:name="iceeb9cea993d4569a5550d6d2f653ece"/>
      <w:bookmarkEnd w:id="274"/>
      <w:r>
        <w:rPr>
          <w:rFonts w:ascii="Times New Roman;serif" w:hAnsi="Times New Roman;serif"/>
          <w:b w:val="false"/>
          <w:color w:val="000000"/>
          <w:sz w:val="22"/>
        </w:rPr>
        <w:t>(a)</w:t>
      </w:r>
      <w:r>
        <w:rPr>
          <w:rFonts w:ascii="Times New Roman;serif" w:hAnsi="Times New Roman;serif"/>
          <w:b w:val="false"/>
          <w:color w:val="000000"/>
          <w:sz w:val="22"/>
        </w:rPr>
        <w:t>At the time of and immediately after giving effect to such Borrowing, no Default or Event of Default shall exist.</w:t>
      </w:r>
    </w:p>
    <w:p>
      <w:pPr>
        <w:pStyle w:val="TextBody"/>
        <w:bidi w:val="0"/>
        <w:spacing w:lineRule="auto" w:line="240" w:before="0" w:after="240"/>
        <w:ind w:left="0" w:right="0" w:firstLine="1440"/>
        <w:jc w:val="both"/>
        <w:rPr/>
      </w:pPr>
      <w:bookmarkStart w:id="275" w:name="i5534a2fea8a44213bf4ac657fc26ff5b"/>
      <w:bookmarkEnd w:id="275"/>
      <w:r>
        <w:rPr>
          <w:rFonts w:ascii="Times New Roman;serif" w:hAnsi="Times New Roman;serif"/>
          <w:b w:val="false"/>
          <w:color w:val="000000"/>
          <w:sz w:val="22"/>
        </w:rPr>
        <w:t>(b)</w:t>
      </w:r>
      <w:r>
        <w:rPr>
          <w:rFonts w:ascii="Times New Roman;serif" w:hAnsi="Times New Roman;serif"/>
          <w:b w:val="false"/>
          <w:color w:val="000000"/>
          <w:sz w:val="22"/>
        </w:rPr>
        <w:t>At the time of and immediately after giving effect to such Borrowing, all representations and warranties of each Loan Party set forth in the Loan Documents shall be true and correct in all material respects, unless such representation or warranty expressly relates to an earlier date, in which case such representation or warranty shall be true and correct in all material respects as of such earlier date (other than those representations and warranties that are expressly qualified by a Material Adverse Effect or other materiality, in which case such representations and warranties shall be true and correct in all respects).</w:t>
      </w:r>
    </w:p>
    <w:p>
      <w:pPr>
        <w:pStyle w:val="TextBody"/>
        <w:bidi w:val="0"/>
        <w:spacing w:lineRule="auto" w:line="240" w:before="0" w:after="240"/>
        <w:ind w:left="0" w:right="0" w:firstLine="1440"/>
        <w:jc w:val="both"/>
        <w:rPr/>
      </w:pPr>
      <w:bookmarkStart w:id="276" w:name="i5438e73b845e4c71b7daf21680a97c70"/>
      <w:bookmarkEnd w:id="276"/>
      <w:r>
        <w:rPr>
          <w:rFonts w:ascii="Times New Roman;serif" w:hAnsi="Times New Roman;serif"/>
          <w:b w:val="false"/>
          <w:color w:val="000000"/>
          <w:sz w:val="22"/>
        </w:rPr>
        <w:t>(c)</w:t>
      </w:r>
      <w:r>
        <w:rPr>
          <w:rFonts w:ascii="Times New Roman;serif" w:hAnsi="Times New Roman;serif"/>
          <w:b w:val="false"/>
          <w:color w:val="000000"/>
          <w:sz w:val="22"/>
        </w:rPr>
        <w:t>The Borrower shall have delivered to the Administrative Agent a Notice of Term Loan Borrowing in accordance with the terms hereof.</w:t>
      </w:r>
    </w:p>
    <w:p>
      <w:pPr>
        <w:pStyle w:val="TextBody"/>
        <w:bidi w:val="0"/>
        <w:spacing w:lineRule="auto" w:line="240" w:before="0" w:after="240"/>
        <w:ind w:left="0" w:right="0" w:firstLine="1440"/>
        <w:jc w:val="both"/>
        <w:rPr/>
      </w:pPr>
      <w:bookmarkStart w:id="277" w:name="i3b4d54f78bee48648fd1eff38d097eeb"/>
      <w:bookmarkEnd w:id="277"/>
      <w:r>
        <w:rPr>
          <w:rFonts w:ascii="Times New Roman;serif" w:hAnsi="Times New Roman;serif"/>
          <w:b w:val="false"/>
          <w:color w:val="000000"/>
          <w:sz w:val="22"/>
        </w:rPr>
        <w:t>(d)</w:t>
      </w:r>
      <w:r>
        <w:rPr>
          <w:rFonts w:ascii="Times New Roman;serif" w:hAnsi="Times New Roman;serif"/>
          <w:b w:val="false"/>
          <w:color w:val="000000"/>
          <w:sz w:val="22"/>
        </w:rPr>
        <w:t>With respect to any requested Delayed Draw Term Loan, after making the Borrowing requested on such date, the Delayed Draw Term Loan Commitments then in effect are not less than $0.</w:t>
      </w:r>
    </w:p>
    <w:p>
      <w:pPr>
        <w:pStyle w:val="TextBody"/>
        <w:bidi w:val="0"/>
        <w:spacing w:lineRule="auto" w:line="240" w:before="0" w:after="240"/>
        <w:ind w:left="0" w:right="0" w:firstLine="1440"/>
        <w:jc w:val="both"/>
        <w:rPr/>
      </w:pPr>
      <w:bookmarkStart w:id="278" w:name="i4f6187d05024402cb5403530869079a0"/>
      <w:bookmarkEnd w:id="278"/>
      <w:r>
        <w:rPr>
          <w:rFonts w:ascii="Times New Roman;serif" w:hAnsi="Times New Roman;serif"/>
          <w:b w:val="false"/>
          <w:color w:val="000000"/>
          <w:sz w:val="22"/>
        </w:rPr>
        <w:t>(e)</w:t>
      </w:r>
      <w:r>
        <w:rPr>
          <w:rFonts w:ascii="Times New Roman;serif" w:hAnsi="Times New Roman;serif"/>
          <w:b w:val="false"/>
          <w:color w:val="000000"/>
          <w:sz w:val="22"/>
        </w:rPr>
        <w:t xml:space="preserve">The Borrower shall be in pro forma compliance with each of the covenants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as of the most recently ended Test Period (calculated on a Pro Forma Basis) (assuming, for purposes of </w:t>
      </w:r>
      <w:r>
        <w:rPr>
          <w:rFonts w:ascii="Times New Roman;serif" w:hAnsi="Times New Roman;serif"/>
          <w:b w:val="false"/>
          <w:color w:val="000000"/>
          <w:sz w:val="22"/>
          <w:u w:val="single"/>
        </w:rPr>
        <w:t>Section 6.1</w:t>
      </w:r>
      <w:r>
        <w:rPr>
          <w:rFonts w:ascii="Times New Roman;serif" w:hAnsi="Times New Roman;serif"/>
          <w:b w:val="false"/>
          <w:color w:val="000000"/>
          <w:sz w:val="22"/>
        </w:rPr>
        <w:t>, that the maximum Consolidated First Lien Net Leverage Ratio permitted as of the last day of such Test Period is 2.50:1.00).</w:t>
      </w:r>
    </w:p>
    <w:p>
      <w:pPr>
        <w:pStyle w:val="TextBody"/>
        <w:bidi w:val="0"/>
        <w:spacing w:lineRule="auto" w:line="240" w:before="0" w:after="240"/>
        <w:ind w:left="0" w:right="0" w:firstLine="1440"/>
        <w:jc w:val="both"/>
        <w:rPr/>
      </w:pPr>
      <w:bookmarkStart w:id="279" w:name="ib058eff0f35e4bcbab0b652a1dff17ab"/>
      <w:bookmarkEnd w:id="279"/>
      <w:r>
        <w:rPr>
          <w:rFonts w:ascii="Times New Roman;serif" w:hAnsi="Times New Roman;serif"/>
          <w:b w:val="false"/>
          <w:color w:val="000000"/>
          <w:sz w:val="22"/>
        </w:rPr>
        <w:t>(f)</w:t>
      </w:r>
      <w:r>
        <w:rPr>
          <w:rFonts w:ascii="Times New Roman;serif" w:hAnsi="Times New Roman;serif"/>
          <w:b w:val="false"/>
          <w:color w:val="000000"/>
          <w:sz w:val="22"/>
        </w:rPr>
        <w:t>At the time of and immediately after giving effect to such Borrowing (but excluding any cash or cash equivalents resulting from the incurrence of such Indebtedness), Liquidity shall equal or exceed $100,000,000.</w:t>
      </w:r>
    </w:p>
    <w:p>
      <w:pPr>
        <w:pStyle w:val="TextBody"/>
        <w:bidi w:val="0"/>
        <w:spacing w:lineRule="auto" w:line="240" w:before="0" w:after="240"/>
        <w:ind w:left="0" w:right="0" w:firstLine="1440"/>
        <w:jc w:val="both"/>
        <w:rPr/>
      </w:pPr>
      <w:bookmarkStart w:id="280" w:name="icfe05dc4ebd04ce997703dc69d5f2ef2"/>
      <w:bookmarkEnd w:id="280"/>
      <w:r>
        <w:rPr>
          <w:rFonts w:ascii="Times New Roman;serif" w:hAnsi="Times New Roman;serif"/>
          <w:b w:val="false"/>
          <w:color w:val="000000"/>
          <w:sz w:val="22"/>
        </w:rPr>
        <w:t>(g)</w:t>
      </w:r>
      <w:r>
        <w:rPr>
          <w:rFonts w:ascii="Times New Roman;serif" w:hAnsi="Times New Roman;serif"/>
          <w:b w:val="false"/>
          <w:color w:val="000000"/>
          <w:sz w:val="22"/>
        </w:rPr>
        <w:t xml:space="preserve">At least 5 days prior to the date of the requested Borrowing (or such later date as may be agreed in writing by the Administrative Agent in its sole discretion), a certificate executed by a Responsible Officer (i) certifying that each of the conditions set forth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above has been satisfied, which certification shall attach reasonably detailed calculations demonstrating compliance with </w:t>
      </w:r>
      <w:r>
        <w:rPr>
          <w:rFonts w:ascii="Times New Roman;serif" w:hAnsi="Times New Roman;serif"/>
          <w:b w:val="false"/>
          <w:color w:val="000000"/>
          <w:sz w:val="22"/>
          <w:u w:val="single"/>
        </w:rPr>
        <w:t>clauses (e)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and (ii) providing a summary of the intended use of proceeds with respect to such Borrowing.</w:t>
      </w:r>
    </w:p>
    <w:p>
      <w:pPr>
        <w:pStyle w:val="TextBody"/>
        <w:bidi w:val="0"/>
        <w:spacing w:lineRule="auto" w:line="240"/>
        <w:ind w:left="0" w:right="0" w:firstLine="720"/>
        <w:jc w:val="both"/>
        <w:rPr/>
      </w:pPr>
      <w:bookmarkStart w:id="281" w:name="idfddf831ebb74b51b5e0920e67cc427b"/>
      <w:bookmarkEnd w:id="281"/>
      <w:r>
        <w:rPr>
          <w:rFonts w:ascii="Times New Roman;serif" w:hAnsi="Times New Roman;serif"/>
          <w:b/>
          <w:color w:val="000000"/>
          <w:sz w:val="22"/>
        </w:rPr>
        <w:t>Section 3.4</w:t>
      </w:r>
      <w:r>
        <w:rPr>
          <w:rFonts w:ascii="Times New Roman;serif" w:hAnsi="Times New Roman;serif"/>
          <w:b/>
          <w:color w:val="000000"/>
          <w:sz w:val="22"/>
          <w:u w:val="single"/>
        </w:rPr>
        <w:t>Delivery of Documents</w:t>
      </w:r>
      <w:r>
        <w:rPr>
          <w:rFonts w:ascii="Times New Roman;serif" w:hAnsi="Times New Roman;serif"/>
          <w:b w:val="false"/>
          <w:color w:val="000000"/>
          <w:sz w:val="22"/>
        </w:rPr>
        <w:t>. All of the Loan Documents, certificates, legal opinions and other documents and papers referred to in this Article, unless otherwise specified, shall be delivered to the Administrative Agent for the account of each of the Lenders and in sufficient counterparts or copies for each of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036955"/>
                <wp:effectExtent l="0" t="0" r="0" b="0"/>
                <wp:wrapNone/>
                <wp:docPr id="221" name="Frame21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40" w:before="0" w:after="240"/>
        <w:jc w:val="center"/>
        <w:rPr/>
      </w:pPr>
      <w:bookmarkStart w:id="282" w:name="i7d2df5e8d3144d7381deca0c7889fb5e"/>
      <w:bookmarkEnd w:id="282"/>
      <w:r>
        <w:rPr>
          <w:rFonts w:ascii="Times New Roman;serif" w:hAnsi="Times New Roman;serif"/>
          <w:b/>
          <w:color w:val="000000"/>
          <w:sz w:val="22"/>
        </w:rPr>
        <w:t>Article IV</w:t>
      </w:r>
      <w:r>
        <w:rPr>
          <w:rFonts w:ascii="Times New Roman;serif" w:hAnsi="Times New Roman;serif"/>
          <w:b/>
          <w:color w:val="000000"/>
          <w:sz w:val="22"/>
          <w:u w:val="single"/>
        </w:rPr>
        <w:b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represents and warrants, both before and after giving effect to the transactions contemplated to occur on the Closing Date, to the Administrative Agent, each Lender and each Issuing Bank as follows: </w:t>
      </w:r>
    </w:p>
    <w:p>
      <w:pPr>
        <w:pStyle w:val="TextBody"/>
        <w:bidi w:val="0"/>
        <w:spacing w:lineRule="auto" w:line="240" w:before="0" w:after="0"/>
        <w:ind w:left="0" w:right="0" w:firstLine="720"/>
        <w:jc w:val="both"/>
        <w:rPr/>
      </w:pPr>
      <w:bookmarkStart w:id="283" w:name="i9fd46700106141a1b8d31d665642e323"/>
      <w:bookmarkEnd w:id="283"/>
      <w:r>
        <w:rPr>
          <w:rFonts w:ascii="Times New Roman;serif" w:hAnsi="Times New Roman;serif"/>
          <w:b/>
          <w:color w:val="000000"/>
          <w:sz w:val="22"/>
        </w:rPr>
        <w:t>Section 4.1</w:t>
      </w:r>
      <w:r>
        <w:rPr>
          <w:rFonts w:ascii="Times New Roman;serif" w:hAnsi="Times New Roman;serif"/>
          <w:b/>
          <w:color w:val="000000"/>
          <w:sz w:val="22"/>
          <w:u w:val="single"/>
        </w:rPr>
        <w:t>Existence; Power</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284" w:name="iade3a44f5be34ce09e290905c36e7524"/>
      <w:bookmarkEnd w:id="284"/>
      <w:r>
        <w:rPr>
          <w:rFonts w:ascii="Times New Roman;serif" w:hAnsi="Times New Roman;serif"/>
          <w:b w:val="false"/>
          <w:color w:val="000000"/>
          <w:sz w:val="22"/>
        </w:rPr>
        <w:t>(a)</w:t>
      </w:r>
      <w:r>
        <w:rPr>
          <w:rFonts w:ascii="Times New Roman;serif" w:hAnsi="Times New Roman;serif"/>
          <w:b w:val="false"/>
          <w:color w:val="000000"/>
          <w:sz w:val="22"/>
        </w:rPr>
        <w:t xml:space="preserve">The Borrower and each of its Subsidiaries (i) is (A) duly organized, validly existing and (B) in good standing as a corporation, partnership or limited liability company under the laws of the jurisdiction of its organization, (ii) has all requisite power and authority to carry on its business as now conducted and (iii) is duly qualified to do business, and is in good standing, in each jurisdiction where such qualification is required, except where a failure to be so qualified would not reasonably be expected to result in a Material Adverse Effect. </w:t>
      </w:r>
    </w:p>
    <w:p>
      <w:pPr>
        <w:pStyle w:val="TextBody"/>
        <w:bidi w:val="0"/>
        <w:spacing w:lineRule="auto" w:line="240" w:before="0" w:after="240"/>
        <w:ind w:left="0" w:right="0" w:firstLine="1440"/>
        <w:jc w:val="both"/>
        <w:rPr/>
      </w:pPr>
      <w:bookmarkStart w:id="285" w:name="i9c1caa9f4ffe4a9eab223deb999d2cd0"/>
      <w:bookmarkEnd w:id="285"/>
      <w:r>
        <w:rPr>
          <w:rFonts w:ascii="Times New Roman;serif" w:hAnsi="Times New Roman;serif"/>
          <w:b w:val="false"/>
          <w:color w:val="000000"/>
          <w:sz w:val="22"/>
        </w:rPr>
        <w:t>(b)</w:t>
      </w:r>
      <w:r>
        <w:rPr>
          <w:rFonts w:ascii="Times New Roman;serif" w:hAnsi="Times New Roman;serif"/>
          <w:b w:val="false"/>
          <w:color w:val="000000"/>
          <w:sz w:val="22"/>
        </w:rPr>
        <w:t>The Borrower and each of its Subsidiaries has all requisite power and authority to execute, deliver and perform its obligations under the Loan Documents to which it is a party.</w:t>
      </w:r>
    </w:p>
    <w:p>
      <w:pPr>
        <w:pStyle w:val="TextBody"/>
        <w:bidi w:val="0"/>
        <w:spacing w:lineRule="auto" w:line="240" w:before="0" w:after="0"/>
        <w:ind w:left="0" w:right="0" w:firstLine="720"/>
        <w:jc w:val="both"/>
        <w:rPr/>
      </w:pPr>
      <w:bookmarkStart w:id="286" w:name="i8941fe87454a49f58ba4c68c65847dd7"/>
      <w:bookmarkEnd w:id="286"/>
      <w:r>
        <w:rPr>
          <w:rFonts w:ascii="Times New Roman;serif" w:hAnsi="Times New Roman;serif"/>
          <w:b/>
          <w:color w:val="000000"/>
          <w:sz w:val="22"/>
        </w:rPr>
        <w:t>Section 4.2</w:t>
      </w:r>
      <w:r>
        <w:rPr>
          <w:rFonts w:ascii="Times New Roman;serif" w:hAnsi="Times New Roman;serif"/>
          <w:b/>
          <w:color w:val="000000"/>
          <w:sz w:val="22"/>
          <w:u w:val="single"/>
        </w:rPr>
        <w:t>Organizational Power; Authorization</w:t>
      </w:r>
      <w:r>
        <w:rPr>
          <w:rFonts w:ascii="Times New Roman;serif" w:hAnsi="Times New Roman;serif"/>
          <w:b w:val="false"/>
          <w:color w:val="000000"/>
          <w:sz w:val="22"/>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the Borrower and constitutes, and each other Loan Document to which any Loan Party is a party, when executed and delivered by such Loan Party, will constitute, valid and binding obligations of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pStyle w:val="TextBody"/>
        <w:bidi w:val="0"/>
        <w:spacing w:lineRule="auto" w:line="240" w:before="0" w:after="0"/>
        <w:ind w:left="0" w:right="0" w:firstLine="720"/>
        <w:jc w:val="both"/>
        <w:rPr/>
      </w:pPr>
      <w:bookmarkStart w:id="287" w:name="i88c94a4fc8ff4d9d8b6871e9a777cb41"/>
      <w:bookmarkEnd w:id="287"/>
      <w:r>
        <w:rPr>
          <w:rFonts w:ascii="Times New Roman;serif" w:hAnsi="Times New Roman;serif"/>
          <w:b/>
          <w:color w:val="000000"/>
          <w:sz w:val="22"/>
        </w:rPr>
        <w:t>Section 4.3</w:t>
      </w:r>
      <w:r>
        <w:rPr>
          <w:rFonts w:ascii="Times New Roman;serif" w:hAnsi="Times New Roman;serif"/>
          <w:b/>
          <w:color w:val="000000"/>
          <w:sz w:val="22"/>
          <w:u w:val="single"/>
        </w:rPr>
        <w:t>Governmental Approvals; No Conflicts</w:t>
      </w:r>
      <w:r>
        <w:rPr>
          <w:rFonts w:ascii="Times New Roman;serif" w:hAnsi="Times New Roman;serif"/>
          <w:b w:val="false"/>
          <w:color w:val="000000"/>
          <w:sz w:val="22"/>
        </w:rPr>
        <w:t xml:space="preserve">. The execution, delivery and performance by each Loan Party of the Loan Documents to which it is a party (a) do not require any consent or approval of, registration or filing with, or any action by, any Governmental Authority, except those as have been obtained or made and are in full force and effect and except for filings necessary to perfect or maintain perfection of the Liens created under the Loan Documents, (b) will not violate any Requirement of Law applicable to the Borrower or any of its Subsidiaries or any judgment, order or ruling of any Governmental Authority, (c) will not violate or result in a default under any Contractual Obligation of the Borrower or any of its Subsidiaries or any of its assets or give rise to a right thereunder to require any payment to be made by the Borrower or any of its Subsidiaries and (d) will not result in the creation or imposition of any Lien on any asset of the Borrower or any of its Subsidiaries, except Liens (if any) created under the Loan Documents, except, in the cases of clauses (b) and (c) above, to the extent that such conflict, breach, contravention or violation would not, individually or in the aggregate, reasonably be expected to have a Material Adverse Effect. </w:t>
      </w:r>
    </w:p>
    <w:p>
      <w:pPr>
        <w:pStyle w:val="TextBody"/>
        <w:bidi w:val="0"/>
        <w:spacing w:lineRule="auto" w:line="240" w:before="0" w:after="0"/>
        <w:ind w:left="0" w:right="0" w:firstLine="720"/>
        <w:jc w:val="both"/>
        <w:rPr/>
      </w:pPr>
      <w:bookmarkStart w:id="288" w:name="ifc4ce4861c1c412f8313901ce1c33cd9"/>
      <w:bookmarkEnd w:id="288"/>
      <w:r>
        <w:rPr>
          <w:rFonts w:ascii="Times New Roman;serif" w:hAnsi="Times New Roman;serif"/>
          <w:b/>
          <w:color w:val="000000"/>
          <w:sz w:val="22"/>
        </w:rPr>
        <w:t>Section 4.4</w:t>
      </w:r>
      <w:r>
        <w:rPr>
          <w:rFonts w:ascii="Times New Roman;serif" w:hAnsi="Times New Roman;serif"/>
          <w:b/>
          <w:color w:val="000000"/>
          <w:sz w:val="22"/>
          <w:u w:val="single"/>
        </w:rPr>
        <w:t>Financial Statements</w:t>
      </w:r>
      <w:r>
        <w:rPr>
          <w:rFonts w:ascii="Times New Roman;serif" w:hAnsi="Times New Roman;serif"/>
          <w:b w:val="false"/>
          <w:color w:val="000000"/>
          <w:sz w:val="22"/>
        </w:rPr>
        <w:t xml:space="preserve">. The Borrower has furnished the Historical Financial Statements to the Administrative Agent. The Historical Financial Statements fairly present the consolidated financial condition of the Borrower and its Subsidiaries as of such dates in all material respects and the consolidated results of operations for such periods in conformity with GAAP consistently applied, subject to year-end audit adjustments and the absence of footnotes in the case of the quarterly statements. Since September 30, 2025, there have been no changes with respect to the Borrower and its Subsidiaries which have had or would reasonably be expected to have, either individually or in the aggregate, a Material Adverse Effect. </w:t>
      </w:r>
    </w:p>
    <w:p>
      <w:pPr>
        <w:pStyle w:val="TextBody"/>
        <w:bidi w:val="0"/>
        <w:spacing w:lineRule="auto" w:line="240" w:before="0" w:after="240"/>
        <w:ind w:left="0" w:right="0" w:firstLine="720"/>
        <w:jc w:val="both"/>
        <w:rPr/>
      </w:pPr>
      <w:bookmarkStart w:id="289" w:name="ibc50daaae2854f4bbd536aca92cdfe55"/>
      <w:bookmarkEnd w:id="289"/>
      <w:r>
        <w:rPr>
          <w:rFonts w:ascii="Times New Roman;serif" w:hAnsi="Times New Roman;serif"/>
          <w:b/>
          <w:color w:val="000000"/>
          <w:sz w:val="22"/>
        </w:rPr>
        <w:t>Section 4.5</w:t>
      </w:r>
      <w:r>
        <w:rPr>
          <w:rFonts w:ascii="Times New Roman;serif" w:hAnsi="Times New Roman;serif"/>
          <w:b/>
          <w:color w:val="000000"/>
          <w:sz w:val="22"/>
          <w:u w:val="single"/>
        </w:rPr>
        <w:t>Litigation and Environmental Matters.</w:t>
      </w:r>
    </w:p>
    <w:p>
      <w:pPr>
        <w:pStyle w:val="TextBody"/>
        <w:bidi w:val="0"/>
        <w:spacing w:lineRule="auto" w:line="240" w:before="0" w:after="240"/>
        <w:ind w:left="0" w:right="0" w:firstLine="1440"/>
        <w:jc w:val="both"/>
        <w:rPr/>
      </w:pPr>
      <w:bookmarkStart w:id="290" w:name="i7c1453fff3c940f6aa3b80321bdf8ac7"/>
      <w:bookmarkEnd w:id="290"/>
      <w:r>
        <w:rPr>
          <w:rFonts w:ascii="Times New Roman;serif" w:hAnsi="Times New Roman;serif"/>
          <w:b w:val="false"/>
          <w:color w:val="000000"/>
          <w:sz w:val="22"/>
        </w:rPr>
        <w:t>(a)</w:t>
      </w:r>
      <w:r>
        <w:rPr>
          <w:rFonts w:ascii="Times New Roman;serif" w:hAnsi="Times New Roman;serif"/>
          <w:b w:val="false"/>
          <w:color w:val="000000"/>
          <w:sz w:val="22"/>
        </w:rPr>
        <w:t>No litigation, investigation or proceeding of or before any arbitrators or Governmental Authorities is pending against or, to the Knowledge of the Borrower, threatened in writing against or affecting the Borrower or any of its Subsidiaries (i) that would reasonably be expected to have, either individually or in the aggregate, a Material Adverse Effect or (ii) which would reasonably be expected to result in the invalidity or unenforceability of this Agreement or any other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036955"/>
                <wp:effectExtent l="0" t="0" r="0" b="0"/>
                <wp:wrapNone/>
                <wp:docPr id="222" name="Frame22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40" w:before="0" w:after="240"/>
        <w:ind w:left="0" w:right="0" w:firstLine="1440"/>
        <w:jc w:val="both"/>
        <w:rPr/>
      </w:pPr>
      <w:bookmarkStart w:id="291" w:name="ie4fa13d39b7d4f2a8523e47bf8060bbd"/>
      <w:bookmarkEnd w:id="291"/>
      <w:r>
        <w:rPr>
          <w:rFonts w:ascii="Times New Roman;serif" w:hAnsi="Times New Roman;serif"/>
          <w:b w:val="false"/>
          <w:color w:val="000000"/>
          <w:sz w:val="22"/>
        </w:rPr>
        <w:t>(b)</w:t>
      </w:r>
      <w:r>
        <w:rPr>
          <w:rFonts w:ascii="Times New Roman;serif" w:hAnsi="Times New Roman;serif"/>
          <w:b w:val="false"/>
          <w:color w:val="000000"/>
          <w:sz w:val="22"/>
        </w:rPr>
        <w:t>None of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in the case of each of clauses (i), (ii), (iii) and (iv), which have had or would reasonably be expected to have, either individually or in the aggregate, a Material Adverse Effect.</w:t>
      </w:r>
    </w:p>
    <w:p>
      <w:pPr>
        <w:pStyle w:val="TextBody"/>
        <w:bidi w:val="0"/>
        <w:spacing w:lineRule="auto" w:line="240" w:before="0" w:after="0"/>
        <w:ind w:left="0" w:right="0" w:firstLine="720"/>
        <w:jc w:val="both"/>
        <w:rPr/>
      </w:pPr>
      <w:bookmarkStart w:id="292" w:name="ia9beed4583754f118d574682f08da892"/>
      <w:bookmarkEnd w:id="292"/>
      <w:r>
        <w:rPr>
          <w:rFonts w:ascii="Times New Roman;serif" w:hAnsi="Times New Roman;serif"/>
          <w:b/>
          <w:color w:val="000000"/>
          <w:sz w:val="22"/>
        </w:rPr>
        <w:t>Section 4.6</w:t>
      </w:r>
      <w:r>
        <w:rPr>
          <w:rFonts w:ascii="Times New Roman;serif" w:hAnsi="Times New Roman;serif"/>
          <w:b/>
          <w:color w:val="000000"/>
          <w:sz w:val="22"/>
          <w:u w:val="single"/>
        </w:rPr>
        <w:t>Compliance with Laws and Agreements</w:t>
      </w:r>
      <w:r>
        <w:rPr>
          <w:rFonts w:ascii="Times New Roman;serif" w:hAnsi="Times New Roman;serif"/>
          <w:b w:val="false"/>
          <w:color w:val="000000"/>
          <w:sz w:val="22"/>
        </w:rPr>
        <w:t>. The Borrower and each of its Subsidiaries is in compliance with (a) all Requirements of Law and all judgments, decrees and orders of any Governmental Authority and (b) all indentures, agreements or other instruments binding upon it or its properties, except, in each case of the foregoing clauses (a) and (b), where non-compliance, either individually or in the aggregate, would not reasonably be expected to result in a Material Adverse Effect.</w:t>
      </w:r>
    </w:p>
    <w:p>
      <w:pPr>
        <w:pStyle w:val="TextBody"/>
        <w:bidi w:val="0"/>
        <w:spacing w:lineRule="auto" w:line="240" w:before="0" w:after="0"/>
        <w:ind w:left="0" w:right="0" w:firstLine="720"/>
        <w:jc w:val="both"/>
        <w:rPr/>
      </w:pPr>
      <w:bookmarkStart w:id="293" w:name="ic510590a025849a293cf902906428446"/>
      <w:bookmarkEnd w:id="293"/>
      <w:r>
        <w:rPr>
          <w:rFonts w:ascii="Times New Roman;serif" w:hAnsi="Times New Roman;serif"/>
          <w:b/>
          <w:color w:val="000000"/>
          <w:sz w:val="22"/>
        </w:rPr>
        <w:t>Section 4.7</w:t>
      </w:r>
      <w:r>
        <w:rPr>
          <w:rFonts w:ascii="Times New Roman;serif" w:hAnsi="Times New Roman;serif"/>
          <w:b/>
          <w:color w:val="000000"/>
          <w:sz w:val="22"/>
          <w:u w:val="single"/>
        </w:rPr>
        <w:t>Investment Company Act</w:t>
      </w:r>
      <w:r>
        <w:rPr>
          <w:rFonts w:ascii="Times New Roman;serif" w:hAnsi="Times New Roman;serif"/>
          <w:b w:val="false"/>
          <w:color w:val="000000"/>
          <w:sz w:val="22"/>
        </w:rPr>
        <w:t>. Neither the Borrower nor any of its Subsidiaries is an “investment company” or is “controlled” by an “investment company”, as such terms are defined in, or subject to regulation under, the Investment Company Act of 1940, as amended and in effect from time to time.</w:t>
      </w:r>
    </w:p>
    <w:p>
      <w:pPr>
        <w:pStyle w:val="TextBody"/>
        <w:bidi w:val="0"/>
        <w:spacing w:lineRule="auto" w:line="240" w:before="0" w:after="0"/>
        <w:ind w:left="0" w:right="0" w:firstLine="720"/>
        <w:jc w:val="both"/>
        <w:rPr/>
      </w:pPr>
      <w:bookmarkStart w:id="294" w:name="ibaa41cd46188443f90b539e54498268a"/>
      <w:bookmarkEnd w:id="294"/>
      <w:r>
        <w:rPr>
          <w:rFonts w:ascii="Times New Roman;serif" w:hAnsi="Times New Roman;serif"/>
          <w:b/>
          <w:color w:val="000000"/>
          <w:sz w:val="22"/>
        </w:rPr>
        <w:t>Section 4.8</w:t>
      </w:r>
      <w:r>
        <w:rPr>
          <w:rFonts w:ascii="Times New Roman;serif" w:hAnsi="Times New Roman;serif"/>
          <w:b/>
          <w:color w:val="000000"/>
          <w:sz w:val="22"/>
          <w:u w:val="single"/>
        </w:rPr>
        <w:t>Taxes</w:t>
      </w:r>
      <w:r>
        <w:rPr>
          <w:rFonts w:ascii="Times New Roman;serif" w:hAnsi="Times New Roman;serif"/>
          <w:b w:val="false"/>
          <w:color w:val="000000"/>
          <w:sz w:val="22"/>
        </w:rPr>
        <w:t xml:space="preserve">. The Borrower and its Subsidiaries have timely filed or caused to be filed all Federal income tax returns and all other material tax returns that are required to be filed by them (taking into account all applicable extension periods), and have paid all Taxes shown to be due and payable on such returns or on any assessments made against it or its property and all other Taxes, fees or other charges imposed on it or any of its property by any Governmental Authority, except (i) where the same are currently being contested in good faith by appropriate proceedings and for which the Borrower or such Subsidiary, as the case may be, has set aside on its books adequate reserves in accordance with GAAP or (ii) where failure to file or pay, as applicable, either individually or in the aggregate, would not reasonably be expected to result in a Material Adverse Effect. </w:t>
      </w:r>
    </w:p>
    <w:p>
      <w:pPr>
        <w:pStyle w:val="TextBody"/>
        <w:bidi w:val="0"/>
        <w:spacing w:lineRule="auto" w:line="240" w:before="0" w:after="0"/>
        <w:ind w:left="0" w:right="0" w:firstLine="720"/>
        <w:jc w:val="both"/>
        <w:rPr/>
      </w:pPr>
      <w:bookmarkStart w:id="295" w:name="i0e0078b693db4676aac39b2b20778687"/>
      <w:bookmarkEnd w:id="295"/>
      <w:r>
        <w:rPr>
          <w:rFonts w:ascii="Times New Roman;serif" w:hAnsi="Times New Roman;serif"/>
          <w:b/>
          <w:color w:val="000000"/>
          <w:sz w:val="22"/>
        </w:rPr>
        <w:t>Section 4.9</w:t>
      </w:r>
      <w:r>
        <w:rPr>
          <w:rFonts w:ascii="Times New Roman;serif" w:hAnsi="Times New Roman;serif"/>
          <w:b/>
          <w:color w:val="000000"/>
          <w:sz w:val="22"/>
          <w:u w:val="single"/>
        </w:rPr>
        <w:t>Margin Regulations</w:t>
      </w:r>
      <w:r>
        <w:rPr>
          <w:rFonts w:ascii="Times New Roman;serif" w:hAnsi="Times New Roman;serif"/>
          <w:b w:val="false"/>
          <w:color w:val="000000"/>
          <w:sz w:val="22"/>
        </w:rPr>
        <w:t>. None of the proceeds of any of the Loans or Letters of Credit will be used, directly or indirectly, for “purchasing” or “carrying” any “margin stock” within the respective meanings of each of such terms under Regulation U or for any purpose that violates the provisions of Regulation T, Regulation U or Regulation X. Neither the Borrower nor any of its Subsidiaries is engaged principally, or as one of its important activities, in the business of extending credit for the purpose of purchasing or carrying “margin stock”.</w:t>
      </w:r>
    </w:p>
    <w:p>
      <w:pPr>
        <w:pStyle w:val="TextBody"/>
        <w:bidi w:val="0"/>
        <w:spacing w:lineRule="auto" w:line="240"/>
        <w:ind w:left="0" w:right="0" w:firstLine="720"/>
        <w:jc w:val="both"/>
        <w:rPr/>
      </w:pPr>
      <w:bookmarkStart w:id="296" w:name="ic6698f09a7e84dcab2792d7a04f5161b"/>
      <w:bookmarkEnd w:id="296"/>
      <w:r>
        <w:rPr>
          <w:rFonts w:ascii="Times New Roman;serif" w:hAnsi="Times New Roman;serif"/>
          <w:b/>
          <w:color w:val="000000"/>
          <w:sz w:val="22"/>
        </w:rPr>
        <w:t>Section 4.10</w:t>
      </w:r>
      <w:r>
        <w:rPr>
          <w:rFonts w:ascii="Times New Roman;serif" w:hAnsi="Times New Roman;serif"/>
          <w:b/>
          <w:color w:val="000000"/>
          <w:sz w:val="22"/>
          <w:u w:val="single"/>
        </w:rPr>
        <w:t>ERISA</w:t>
      </w:r>
      <w:r>
        <w:rPr>
          <w:rFonts w:ascii="Times New Roman;serif" w:hAnsi="Times New Roman;serif"/>
          <w:b w:val="false"/>
          <w:color w:val="000000"/>
          <w:sz w:val="22"/>
        </w:rPr>
        <w:t xml:space="preserve">. Except as would not reasonably be expected to have a Material Adverse Effect, each Plan is in substantial compliance in form and operation with its terms and with ERISA and the Code (including the Code provisions compliance with which is necessary for any intended favorable tax treatment) and all other applicable laws and regulations.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except as would not reasonably be expected to have a Material Adverse Effect, nothing has occurred since the date of such determination that would adversely affect such determination (or, in the case of a Plan with no determination, nothing has occurred that would adversely affect the issuance of a favorable determination letter or otherwise adversely affect such qualification). Except as would not reasonably be expected to have a Material Adverse Effect, no ERISA Event has occurred or is reasonably expected to occur. Except as would not reasonably be expected to have a Material Adverse Effect, there exists no Unfunded Pension Liability with respect to any Plan. Except as would not reasonably be expected to have a Material Adverse Effect, none of the Borrower, any of its Subsidiaries or any ERISA Affiliate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(other than routine claims for benefits) or, to the Knowledge of the Borrower, any of its Subsidiaries or any ERISA Affiliate, threatened in writing, which would reasonably be expected to be asserted successfully against any Plan and, if so asserted successfully, would reasonably be expected either singly or in the aggregate to result in a Material Adverse Effect, except as would not reasonably be expected either individually or in the aggregate to have a Material Adverse Effect to the Borrower or any of its Subsidiaries. Except as would not reasonably be expected to have a Material Adverse Effect, the Borrower, each of its Subsidiaries and each ERISA Affiliate have made all contributions to or under each Plan and Multiemployer Plan required by law within the applicable time limits prescribed thereby, by the terms of such Plan or Multiemployer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036955"/>
                <wp:effectExtent l="0" t="0" r="0" b="0"/>
                <wp:wrapNone/>
                <wp:docPr id="223" name="Frame22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Plan, respectively, or by any contract or agreement requiring contributions to a Plan or Multiemployer Plan. Except as would not reasonably be expected to have a Material Adverse Effect, no Plan which is subject to Section 412 of the Code or Section 302 of ERISA has applied for or received an extension of any amortization period within the meaning of Section 412 of the Code or Section 303 or 304 of ERISA. Except as would not reasonably be expected to have a Material Adverse Effect, none of the Borrower, any of its Subsidiaries or any ERISA Affiliate have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w:t>
      </w:r>
    </w:p>
    <w:p>
      <w:pPr>
        <w:pStyle w:val="TextBody"/>
        <w:bidi w:val="0"/>
        <w:spacing w:lineRule="auto" w:line="240" w:before="0" w:after="240"/>
        <w:ind w:left="0" w:right="0" w:firstLine="720"/>
        <w:jc w:val="both"/>
        <w:rPr/>
      </w:pPr>
      <w:bookmarkStart w:id="297" w:name="id81828b8b8004c0ca91f7d3b82af43f2"/>
      <w:bookmarkEnd w:id="297"/>
      <w:r>
        <w:rPr>
          <w:rFonts w:ascii="Times New Roman;serif" w:hAnsi="Times New Roman;serif"/>
          <w:b/>
          <w:color w:val="000000"/>
          <w:sz w:val="22"/>
        </w:rPr>
        <w:t>Section 4.11</w:t>
      </w:r>
      <w:r>
        <w:rPr>
          <w:rFonts w:ascii="Times New Roman;serif" w:hAnsi="Times New Roman;serif"/>
          <w:b/>
          <w:color w:val="000000"/>
          <w:sz w:val="22"/>
          <w:u w:val="single"/>
        </w:rPr>
        <w:t>Ownership of Property; Intellectual Property; Insurance.</w:t>
      </w:r>
    </w:p>
    <w:p>
      <w:pPr>
        <w:pStyle w:val="TextBody"/>
        <w:bidi w:val="0"/>
        <w:spacing w:lineRule="auto" w:line="240" w:before="0" w:after="240"/>
        <w:ind w:left="0" w:right="0" w:firstLine="1440"/>
        <w:jc w:val="both"/>
        <w:rPr/>
      </w:pPr>
      <w:bookmarkStart w:id="298" w:name="i9717b63e6d2c44c7acab9c757050ec0d"/>
      <w:bookmarkEnd w:id="298"/>
      <w:r>
        <w:rPr>
          <w:rFonts w:ascii="Times New Roman;serif" w:hAnsi="Times New Roman;serif"/>
          <w:b w:val="false"/>
          <w:color w:val="000000"/>
          <w:sz w:val="22"/>
        </w:rPr>
        <w:t>(a)</w:t>
      </w:r>
      <w:r>
        <w:rPr>
          <w:rFonts w:ascii="Times New Roman;serif" w:hAnsi="Times New Roman;serif"/>
          <w:b w:val="false"/>
          <w:color w:val="000000"/>
          <w:sz w:val="22"/>
        </w:rPr>
        <w:t>As of the Closing Date, other than with respect to any patents, copyrights, trademarks, service marks, trade names, contractual franchises and other intellectual property rights subject to the representation in clause (b) hereof, each of the Borrower and its Subsidiaries has good title to, or right to use or occupy, as applicable, all of its real and personal property material to the operation of its business, including all such properties reflected in the most recent audited Historical Financial Statements or purported to have been acquired by the Borrower or any of its Subsidiaries after said date (except as sold or otherwise disposed of in the ordinary course of business), in each case free and clear of Liens prohibited by this Agreement. All leases of real property that individually or in the aggregate are material to the business or operations of the Borrower and its Subsidiaries taken as a whole are valid and subsisting and are in full force.</w:t>
      </w:r>
    </w:p>
    <w:p>
      <w:pPr>
        <w:pStyle w:val="TextBody"/>
        <w:bidi w:val="0"/>
        <w:spacing w:lineRule="auto" w:line="240" w:before="0" w:after="240"/>
        <w:ind w:left="0" w:right="0" w:firstLine="1440"/>
        <w:jc w:val="both"/>
        <w:rPr/>
      </w:pPr>
      <w:bookmarkStart w:id="299" w:name="i70a7af061de4440792753405e564a245"/>
      <w:bookmarkEnd w:id="299"/>
      <w:r>
        <w:rPr>
          <w:rFonts w:ascii="Times New Roman;serif" w:hAnsi="Times New Roman;serif"/>
          <w:b w:val="false"/>
          <w:color w:val="000000"/>
          <w:sz w:val="22"/>
        </w:rPr>
        <w:t>(b)</w:t>
      </w:r>
      <w:r>
        <w:rPr>
          <w:rFonts w:ascii="Times New Roman;serif" w:hAnsi="Times New Roman;serif"/>
          <w:b w:val="false"/>
          <w:color w:val="000000"/>
          <w:sz w:val="22"/>
        </w:rPr>
        <w:t>Each of the Borrower and its Subsidiaries, as the case may be, owns or is licensed or otherwise has the right to use all of the patents, copyrights, trademarks, service marks, trade names, contractual franchises and other intellectual property rights that are reasonably necessary for the operation of its respective businesses as currently conducted by it, except to the extent that failure to hold such ownership, license or other right could not, individually or in the aggregate, reasonably be expected to have or result in a Material Adverse Effect. The use of such intellectual property by the Borrower or such Subsidiary and the operation of its business does not infringe any valid and enforceable intellectual property rights of any other Person, except to the extent any such infringement could not, individually or in the aggregate, reasonably be expected to have or result in a Material Adverse Effect. No claim or litigation regarding any of the foregoing is pending nor, to the Borrower’s Knowledge, overtly threatened in writing, except for such claims or litigation as both (i) could not reasonably be expected to have or result in a Material Adverse Effect, and (ii) do not purport to affect any Loan Document or any of the transactions contemplated hereby.</w:t>
      </w:r>
    </w:p>
    <w:p>
      <w:pPr>
        <w:pStyle w:val="TextBody"/>
        <w:bidi w:val="0"/>
        <w:spacing w:lineRule="auto" w:line="240" w:before="0" w:after="240"/>
        <w:ind w:left="0" w:right="0" w:firstLine="1440"/>
        <w:jc w:val="both"/>
        <w:rPr/>
      </w:pPr>
      <w:bookmarkStart w:id="300" w:name="i4aadccb7c1dc4cbe883b442a6ba92d2a"/>
      <w:bookmarkEnd w:id="300"/>
      <w:r>
        <w:rPr>
          <w:rFonts w:ascii="Times New Roman;serif" w:hAnsi="Times New Roman;serif"/>
          <w:b w:val="false"/>
          <w:color w:val="000000"/>
          <w:sz w:val="22"/>
        </w:rPr>
        <w:t>(c)</w:t>
      </w:r>
      <w:r>
        <w:rPr>
          <w:rFonts w:ascii="Times New Roman;serif" w:hAnsi="Times New Roman;serif"/>
          <w:b w:val="false"/>
          <w:color w:val="000000"/>
          <w:sz w:val="22"/>
        </w:rPr>
        <w:t>The properties of the Borrower and its Subsidiaries are insured with financially sound and reputable insurance companies which are not Affiliates of the Borrower (other than any captive insurance subsidiary), in such amounts with such deductibles and covering such risks as are customarily carried by companies engaged in similar businesses and owning similar properties in localities where the Borrower or any applicable Subsidiary operates.</w:t>
      </w:r>
    </w:p>
    <w:p>
      <w:pPr>
        <w:pStyle w:val="TextBody"/>
        <w:bidi w:val="0"/>
        <w:spacing w:lineRule="auto" w:line="240" w:before="0" w:after="240"/>
        <w:ind w:left="0" w:right="0" w:firstLine="720"/>
        <w:jc w:val="both"/>
        <w:rPr/>
      </w:pPr>
      <w:bookmarkStart w:id="301" w:name="iafab9ba58aeb4af19803de85e0958912"/>
      <w:bookmarkEnd w:id="301"/>
      <w:r>
        <w:rPr>
          <w:rFonts w:ascii="Times New Roman;serif" w:hAnsi="Times New Roman;serif"/>
          <w:b/>
          <w:color w:val="000000"/>
          <w:sz w:val="22"/>
        </w:rPr>
        <w:t>Section 4.12</w:t>
      </w:r>
      <w:r>
        <w:rPr>
          <w:rFonts w:ascii="Times New Roman;serif" w:hAnsi="Times New Roman;serif"/>
          <w:b/>
          <w:color w:val="000000"/>
          <w:sz w:val="22"/>
          <w:u w:val="single"/>
        </w:rPr>
        <w:t>Disclosure.</w:t>
      </w:r>
    </w:p>
    <w:p>
      <w:pPr>
        <w:pStyle w:val="TextBody"/>
        <w:bidi w:val="0"/>
        <w:spacing w:lineRule="auto" w:line="240" w:before="0" w:after="240"/>
        <w:ind w:left="0" w:right="0" w:firstLine="1440"/>
        <w:jc w:val="both"/>
        <w:rPr/>
      </w:pPr>
      <w:bookmarkStart w:id="302" w:name="i0df64ec872c14103bbfa123b4422d057"/>
      <w:bookmarkEnd w:id="302"/>
      <w:r>
        <w:rPr>
          <w:rFonts w:ascii="Times New Roman;serif" w:hAnsi="Times New Roman;serif"/>
          <w:b w:val="false"/>
          <w:color w:val="000000"/>
          <w:sz w:val="22"/>
        </w:rPr>
        <w:t>(a)</w:t>
      </w:r>
      <w:r>
        <w:rPr>
          <w:rFonts w:ascii="Times New Roman;serif" w:hAnsi="Times New Roman;serif"/>
          <w:b w:val="false"/>
          <w:color w:val="000000"/>
          <w:sz w:val="22"/>
        </w:rPr>
        <w:t xml:space="preserve">The Borrower has disclosed to the Lenders all written agreements, instruments, and corporate or other documents to which the Borrower and each of its Subsidiaries is subject, the termination (other than the expiration thereof pursuant to its terms) or violation of which, either individually or in the aggregate, would reasonably be expected to result in a Material Adverse Effect and all other matters known to any of them, that, either individually or in the aggregate, would reasonably be expected to result in a Material Adverse Effect. None of the reports (including all reports that the Borrower is required to file with the Securities and Exchange Commission), financial statements, certificates or other written information (other than information of a general economic or industry specific nature) furnished by or on behalf of the Borrower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materially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projected financial information,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036955"/>
                <wp:effectExtent l="0" t="0" r="0" b="0"/>
                <wp:wrapNone/>
                <wp:docPr id="224" name="Frame22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financial information or information of a general economic or general industry nature, the Borrower represents only that such information was prepared in good faith based upon assumptions believed to be reasonable at the time, it being understood and agreed that such projected or forward-looking information is subject to contingencies and assumptions, many of which are not within the control of the Borrower, and no assurances can be given that any projections will be realized, and any divergences from projected results may be material.</w:t>
      </w:r>
    </w:p>
    <w:p>
      <w:pPr>
        <w:pStyle w:val="TextBody"/>
        <w:bidi w:val="0"/>
        <w:spacing w:lineRule="auto" w:line="240" w:before="0" w:after="240"/>
        <w:ind w:left="0" w:right="0" w:firstLine="1440"/>
        <w:jc w:val="both"/>
        <w:rPr/>
      </w:pPr>
      <w:bookmarkStart w:id="303" w:name="ib81c389c4bff4b8ba060670b410f0997"/>
      <w:bookmarkEnd w:id="303"/>
      <w:r>
        <w:rPr>
          <w:rFonts w:ascii="Times New Roman;serif" w:hAnsi="Times New Roman;serif"/>
          <w:b w:val="false"/>
          <w:color w:val="000000"/>
          <w:sz w:val="22"/>
        </w:rPr>
        <w:t>(b)</w:t>
      </w:r>
      <w:r>
        <w:rPr>
          <w:rFonts w:ascii="Times New Roman;serif" w:hAnsi="Times New Roman;serif"/>
          <w:b w:val="false"/>
          <w:color w:val="000000"/>
          <w:sz w:val="22"/>
        </w:rPr>
        <w:t>As of the Closing Date, the information included in the Beneficial Ownership Certification is true and correct in all respects.</w:t>
      </w:r>
    </w:p>
    <w:p>
      <w:pPr>
        <w:pStyle w:val="TextBody"/>
        <w:bidi w:val="0"/>
        <w:spacing w:lineRule="auto" w:line="240" w:before="0" w:after="0"/>
        <w:ind w:left="0" w:right="0" w:firstLine="720"/>
        <w:jc w:val="both"/>
        <w:rPr/>
      </w:pPr>
      <w:bookmarkStart w:id="304" w:name="i8836ac253ff740b59943383d5ab43e77"/>
      <w:bookmarkEnd w:id="304"/>
      <w:r>
        <w:rPr>
          <w:rFonts w:ascii="Times New Roman;serif" w:hAnsi="Times New Roman;serif"/>
          <w:b/>
          <w:color w:val="000000"/>
          <w:sz w:val="22"/>
        </w:rPr>
        <w:t>Section 4.13</w:t>
      </w:r>
      <w:r>
        <w:rPr>
          <w:rFonts w:ascii="Times New Roman;serif" w:hAnsi="Times New Roman;serif"/>
          <w:b/>
          <w:color w:val="000000"/>
          <w:sz w:val="22"/>
          <w:u w:val="single"/>
        </w:rPr>
        <w:t>Labor Relations</w:t>
      </w:r>
      <w:r>
        <w:rPr>
          <w:rFonts w:ascii="Times New Roman;serif" w:hAnsi="Times New Roman;serif"/>
          <w:b w:val="false"/>
          <w:color w:val="000000"/>
          <w:sz w:val="22"/>
        </w:rPr>
        <w:t xml:space="preserve">. There are no strikes, lockouts or other material labor disputes or grievances against the Borrower or any of its Subsidiaries, or, to the Borrower’s Knowledge, threatened in writing against or affecting the Borrower or any of its Subsidiaries, and no significant unfair labor practice charges or grievances are pending against the Borrower or any of its Subsidiaries, or, to the Borrower’s Knowledge, threatened in writing against any of them before any Governmental Authority, in each case, that would, either individually or in the aggregate, reasonably be expected to result in a Material Adverse Effect. All payments due from the Borrower or any of its Subsidiaries pursuant to the provisions of any collective bargaining agreement have been paid or accrued as a liability on the books of the Borrower or any such Subsidiary, except where the failure to do so would not reasonably be expected to have a Material Adverse Effect. </w:t>
      </w:r>
    </w:p>
    <w:p>
      <w:pPr>
        <w:pStyle w:val="TextBody"/>
        <w:bidi w:val="0"/>
        <w:spacing w:lineRule="auto" w:line="240" w:before="0" w:after="0"/>
        <w:ind w:left="0" w:right="0" w:firstLine="720"/>
        <w:jc w:val="both"/>
        <w:rPr/>
      </w:pPr>
      <w:bookmarkStart w:id="305" w:name="if550124457404e139173c3c34b78ec2c"/>
      <w:bookmarkEnd w:id="305"/>
      <w:r>
        <w:rPr>
          <w:rFonts w:ascii="Times New Roman;serif" w:hAnsi="Times New Roman;serif"/>
          <w:b/>
          <w:color w:val="000000"/>
          <w:sz w:val="22"/>
        </w:rPr>
        <w:t>Section 4.14</w:t>
      </w:r>
      <w:r>
        <w:rPr>
          <w:rFonts w:ascii="Times New Roman;serif" w:hAnsi="Times New Roman;serif"/>
          <w:b/>
          <w:color w:val="000000"/>
          <w:sz w:val="22"/>
          <w:u w:val="single"/>
        </w:rPr>
        <w:t>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4.14</w:t>
      </w:r>
      <w:r>
        <w:rPr>
          <w:color w:val="000000"/>
        </w:rPr>
        <w:t xml:space="preserve"> </w:t>
      </w:r>
      <w:r>
        <w:rPr>
          <w:rFonts w:ascii="Times New Roman;serif" w:hAnsi="Times New Roman;serif"/>
          <w:b w:val="false"/>
          <w:color w:val="000000"/>
          <w:sz w:val="22"/>
        </w:rPr>
        <w:t>sets forth the name of, the ownership interest of the applicable Loan Party in, the jurisdiction of incorporation or organization of, and the type of each Subsidiary of the Borrower and the other Loan Parties and identifies each Subsidiary that is a Subsidiary Loan Party, in each case as of the Closing Date.</w:t>
      </w:r>
    </w:p>
    <w:p>
      <w:pPr>
        <w:pStyle w:val="TextBody"/>
        <w:bidi w:val="0"/>
        <w:spacing w:lineRule="auto" w:line="240" w:before="0" w:after="0"/>
        <w:ind w:left="0" w:right="0" w:firstLine="720"/>
        <w:jc w:val="both"/>
        <w:rPr/>
      </w:pPr>
      <w:bookmarkStart w:id="306" w:name="ieb0ecc023e1d4e679e7ec80b68889030"/>
      <w:bookmarkEnd w:id="306"/>
      <w:r>
        <w:rPr>
          <w:rFonts w:ascii="Times New Roman;serif" w:hAnsi="Times New Roman;serif"/>
          <w:b/>
          <w:color w:val="000000"/>
          <w:sz w:val="22"/>
        </w:rPr>
        <w:t>Section 4.15</w:t>
      </w:r>
      <w:r>
        <w:rPr>
          <w:rFonts w:ascii="Times New Roman;serif" w:hAnsi="Times New Roman;serif"/>
          <w:b/>
          <w:color w:val="000000"/>
          <w:sz w:val="22"/>
          <w:u w:val="single"/>
        </w:rPr>
        <w:t>Solvency</w:t>
      </w:r>
      <w:r>
        <w:rPr>
          <w:rFonts w:ascii="Times New Roman;serif" w:hAnsi="Times New Roman;serif"/>
          <w:b w:val="false"/>
          <w:color w:val="000000"/>
          <w:sz w:val="22"/>
        </w:rPr>
        <w:t>. As of the Closing Date, after giving effect to the execution and delivery of the Loan Documents and the making of the Loans under this Agreement, the Borrower and its Subsidiaries, on a consolidated basis, are Solvent.</w:t>
      </w:r>
    </w:p>
    <w:p>
      <w:pPr>
        <w:pStyle w:val="TextBody"/>
        <w:bidi w:val="0"/>
        <w:spacing w:lineRule="auto" w:line="240" w:before="0" w:after="0"/>
        <w:ind w:left="0" w:right="0" w:firstLine="720"/>
        <w:jc w:val="both"/>
        <w:rPr/>
      </w:pPr>
      <w:bookmarkStart w:id="307" w:name="i153f1cf2ec35433fa6394567032fd41d"/>
      <w:bookmarkEnd w:id="307"/>
      <w:r>
        <w:rPr>
          <w:rFonts w:ascii="Times New Roman;serif" w:hAnsi="Times New Roman;serif"/>
          <w:b/>
          <w:color w:val="000000"/>
          <w:sz w:val="22"/>
        </w:rPr>
        <w:t>Section 4.16</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bookmarkStart w:id="308" w:name="iae90ba8014034a50bae763e1a0dd79e8"/>
      <w:bookmarkEnd w:id="308"/>
      <w:r>
        <w:rPr>
          <w:rFonts w:ascii="Times New Roman;serif" w:hAnsi="Times New Roman;serif"/>
          <w:b/>
          <w:color w:val="000000"/>
          <w:sz w:val="22"/>
        </w:rPr>
        <w:t>Section 4.17</w:t>
      </w:r>
      <w:r>
        <w:rPr>
          <w:rFonts w:ascii="Times New Roman;serif" w:hAnsi="Times New Roman;serif"/>
          <w:b/>
          <w:color w:val="000000"/>
          <w:sz w:val="22"/>
          <w:u w:val="single"/>
        </w:rPr>
        <w:t>Collateral Documents.</w:t>
      </w:r>
    </w:p>
    <w:p>
      <w:pPr>
        <w:pStyle w:val="TextBody"/>
        <w:bidi w:val="0"/>
        <w:spacing w:lineRule="auto" w:line="240" w:before="0" w:after="240"/>
        <w:ind w:left="0" w:right="0" w:firstLine="1440"/>
        <w:jc w:val="both"/>
        <w:rPr/>
      </w:pPr>
      <w:bookmarkStart w:id="309" w:name="i1fd1458e07a44862b00f0c10b169635d"/>
      <w:bookmarkEnd w:id="309"/>
      <w:r>
        <w:rPr>
          <w:rFonts w:ascii="Times New Roman;serif" w:hAnsi="Times New Roman;serif"/>
          <w:b w:val="false"/>
          <w:color w:val="000000"/>
          <w:sz w:val="22"/>
        </w:rPr>
        <w:t>(a)</w:t>
      </w:r>
      <w:r>
        <w:rPr>
          <w:rFonts w:ascii="Times New Roman;serif" w:hAnsi="Times New Roman;serif"/>
          <w:b w:val="false"/>
          <w:color w:val="000000"/>
          <w:sz w:val="22"/>
        </w:rPr>
        <w:t xml:space="preserve">The Guaranty and Security Agreement is effective to create in favor of the Administrative Agent for the ratable benefit of the Secured Parties a legal, valid and enforceable (except as may be limited by applicable bankruptcy, insolvency, reorganization, moratorium or other similar laws affecting the enforcement of creditors’ rights generally and by general principles of equity) security interest in the Collateral (as defined therein), and the Liens created under the Guaranty and Security Agreement constitute fully perfected Liens (to the extent that such Liens may be perfected by the filing of a UCC financing statement when such UCC financing statements in the appropriate form are filed in the offices specified on Schedule 3 to the Guaranty and Security Agreement) on, and security interest in, all right, title and interest of the grantors thereunder in such Collateral, in each case prior and superior in right to any other Person, other than with respect to Liens expressly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When the certificates evidencing all Pledged Securities (as defined in the Guaranty and Security Agreement) are delivered to the Administrative Agent, together with appropriate stock powers or other similar instruments of transfer duly executed in blank, and upon the taking of possession or control by the Administrative Agent of any such certificates evidencing Capital Stock with respect to which a security interest may be perfected by possession or control, the Liens in such Capital Stock shall be fully perfected first priority security interests, perfected by “control” as defined in the UCC, subject to Liens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10" w:name="ia77de7e4500c45829bfdff743be91566"/>
      <w:bookmarkEnd w:id="310"/>
      <w:r>
        <w:rPr>
          <w:rFonts w:ascii="Times New Roman;serif" w:hAnsi="Times New Roman;serif"/>
          <w:b w:val="false"/>
          <w:color w:val="000000"/>
          <w:sz w:val="22"/>
        </w:rPr>
        <w:t>(b)</w:t>
      </w:r>
      <w:r>
        <w:rPr>
          <w:rFonts w:ascii="Times New Roman;serif" w:hAnsi="Times New Roman;serif"/>
          <w:b w:val="false"/>
          <w:color w:val="000000"/>
          <w:sz w:val="22"/>
        </w:rPr>
        <w:t xml:space="preserve">When, if applicable, the Patent Security Agreements and the Trademark Security Agreements are filed in the United States Patent and Trademark Office and the Copyright Security Agreements are filed in the United States Copyright Office, together (where applicable) with financing statements in appropriate form filed in the offices required pursuant to the Guaranty and Security Agreement, the Liens created by Guaranty and Security Agreement shall constitute fully perfected Liens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subject to Liens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036955"/>
                <wp:effectExtent l="0" t="0" r="0" b="0"/>
                <wp:wrapNone/>
                <wp:docPr id="225" name="Frame22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40" w:before="0" w:after="240"/>
        <w:ind w:left="0" w:right="0" w:firstLine="1440"/>
        <w:jc w:val="both"/>
        <w:rPr/>
      </w:pPr>
      <w:bookmarkStart w:id="311" w:name="i3e33150e42be4d388d0012c4769dd038"/>
      <w:bookmarkEnd w:id="311"/>
      <w:r>
        <w:rPr>
          <w:rFonts w:ascii="Times New Roman;serif" w:hAnsi="Times New Roman;serif"/>
          <w:b w:val="false"/>
          <w:color w:val="000000"/>
          <w:sz w:val="22"/>
        </w:rPr>
        <w:t>(c)</w:t>
      </w:r>
      <w:r>
        <w:rPr>
          <w:rFonts w:ascii="Times New Roman;serif" w:hAnsi="Times New Roman;serif"/>
          <w:b w:val="false"/>
          <w:color w:val="000000"/>
          <w:sz w:val="22"/>
        </w:rPr>
        <w:t xml:space="preserve">Each Mortgage, when duly executed and delivered by the relevant Loan Party, will be effective to create in favor of the Administrative Agent for the ratable benefit of the Secured Parties a legal, valid and enforceable Lien on all of such Loan Party’s right, title and interest in and to the Material Real Estate of such Loan Party covered thereby, and when such Mortgage is filed in the real estate records where the respective Mortgaged Property is located, such Mortgage shall constitute a fully perfected Lien on, and (as applicable) security interest in, all right, title and interest of such Loan Party in such Material Real Estate, in each case prior and superior in right to any other Person, other than with respect to Liens expressly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12" w:name="ic11d7a494e2d427f910c380aafc7f6da"/>
      <w:bookmarkEnd w:id="312"/>
      <w:r>
        <w:rPr>
          <w:rFonts w:ascii="Times New Roman;serif" w:hAnsi="Times New Roman;serif"/>
          <w:b w:val="false"/>
          <w:color w:val="000000"/>
          <w:sz w:val="22"/>
        </w:rPr>
        <w:t>(d)</w:t>
      </w:r>
      <w:r>
        <w:rPr>
          <w:rFonts w:ascii="Times New Roman;serif" w:hAnsi="Times New Roman;serif"/>
          <w:b w:val="false"/>
          <w:color w:val="000000"/>
          <w:sz w:val="22"/>
        </w:rPr>
        <w:t xml:space="preserve">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 except to the extent that the applicable Loan Party maintains flood insurance with respect to such improved real property in compliance with the requirements of </w:t>
      </w:r>
      <w:r>
        <w:rPr>
          <w:rFonts w:ascii="Times New Roman;serif" w:hAnsi="Times New Roman;serif"/>
          <w:b w:val="false"/>
          <w:color w:val="000000"/>
          <w:sz w:val="22"/>
          <w:u w:val="single"/>
        </w:rPr>
        <w:t>Section 5.8</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313" w:name="i1930459017ca4c4bb961e94ab4546b74"/>
      <w:bookmarkEnd w:id="313"/>
      <w:r>
        <w:rPr>
          <w:rFonts w:ascii="Times New Roman;serif" w:hAnsi="Times New Roman;serif"/>
          <w:b/>
          <w:color w:val="000000"/>
          <w:sz w:val="22"/>
        </w:rPr>
        <w:t>Section 4.18</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bookmarkStart w:id="314" w:name="i8f9c5c29ef52460dad34a1805415b33b"/>
      <w:bookmarkEnd w:id="314"/>
      <w:r>
        <w:rPr>
          <w:rFonts w:ascii="Times New Roman;serif" w:hAnsi="Times New Roman;serif"/>
          <w:b/>
          <w:color w:val="000000"/>
          <w:sz w:val="22"/>
        </w:rPr>
        <w:t>Section 4.19</w:t>
      </w:r>
      <w:r>
        <w:rPr>
          <w:rFonts w:ascii="Times New Roman;serif" w:hAnsi="Times New Roman;serif"/>
          <w:b/>
          <w:color w:val="000000"/>
          <w:sz w:val="22"/>
          <w:u w:val="single"/>
        </w:rPr>
        <w:t>Outbound Investments</w:t>
      </w:r>
      <w:r>
        <w:rPr>
          <w:rFonts w:ascii="Times New Roman;serif" w:hAnsi="Times New Roman;serif"/>
          <w:b w:val="false"/>
          <w:color w:val="000000"/>
          <w:sz w:val="22"/>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lineRule="auto" w:line="240" w:before="0" w:after="240"/>
        <w:ind w:left="0" w:right="0" w:firstLine="720"/>
        <w:jc w:val="both"/>
        <w:rPr/>
      </w:pPr>
      <w:bookmarkStart w:id="315" w:name="i3fa571a7d70a4b7d8c20499769ff0665"/>
      <w:bookmarkEnd w:id="315"/>
      <w:r>
        <w:rPr>
          <w:rFonts w:ascii="Times New Roman;serif" w:hAnsi="Times New Roman;serif"/>
          <w:b/>
          <w:color w:val="000000"/>
          <w:sz w:val="22"/>
        </w:rPr>
        <w:t>Section 4.20</w:t>
      </w:r>
      <w:r>
        <w:rPr>
          <w:rFonts w:ascii="Times New Roman;serif" w:hAnsi="Times New Roman;serif"/>
          <w:b/>
          <w:color w:val="000000"/>
          <w:sz w:val="22"/>
          <w:u w:val="single"/>
        </w:rPr>
        <w:t>Sanctions and Anti-Corruption Laws.</w:t>
      </w:r>
    </w:p>
    <w:p>
      <w:pPr>
        <w:pStyle w:val="TextBody"/>
        <w:bidi w:val="0"/>
        <w:spacing w:lineRule="auto" w:line="240" w:before="0" w:after="240"/>
        <w:ind w:left="0" w:right="0" w:firstLine="1440"/>
        <w:jc w:val="both"/>
        <w:rPr/>
      </w:pPr>
      <w:bookmarkStart w:id="316" w:name="icc4ae64923ba4b0e8e87b9908cdd5b31"/>
      <w:bookmarkEnd w:id="316"/>
      <w:r>
        <w:rPr>
          <w:rFonts w:ascii="Times New Roman;serif" w:hAnsi="Times New Roman;serif"/>
          <w:b w:val="false"/>
          <w:color w:val="000000"/>
          <w:sz w:val="22"/>
        </w:rPr>
        <w:t>(a)</w:t>
      </w:r>
      <w:r>
        <w:rPr>
          <w:rFonts w:ascii="Times New Roman;serif" w:hAnsi="Times New Roman;serif"/>
          <w:b w:val="false"/>
          <w:color w:val="000000"/>
          <w:sz w:val="22"/>
        </w:rPr>
        <w:t>None of the Borrower or any of its Subsidiaries or any of their respective directors, officers, employees, agents or affiliates is a Sanctioned Person.</w:t>
      </w:r>
    </w:p>
    <w:p>
      <w:pPr>
        <w:pStyle w:val="TextBody"/>
        <w:bidi w:val="0"/>
        <w:spacing w:lineRule="auto" w:line="240" w:before="0" w:after="240"/>
        <w:ind w:left="0" w:right="0" w:firstLine="1440"/>
        <w:jc w:val="both"/>
        <w:rPr/>
      </w:pPr>
      <w:bookmarkStart w:id="317" w:name="i5e7881ad0eee4edd9d5125fe4b1123db"/>
      <w:bookmarkEnd w:id="317"/>
      <w:r>
        <w:rPr>
          <w:rFonts w:ascii="Times New Roman;serif" w:hAnsi="Times New Roman;serif"/>
          <w:b w:val="false"/>
          <w:color w:val="000000"/>
          <w:sz w:val="22"/>
        </w:rPr>
        <w:t>(b)</w:t>
      </w:r>
      <w:r>
        <w:rPr>
          <w:rFonts w:ascii="Times New Roman;serif" w:hAnsi="Times New Roman;serif"/>
          <w:b w:val="false"/>
          <w:color w:val="000000"/>
          <w:sz w:val="22"/>
        </w:rPr>
        <w:t>Borrower, its Subsidiaries and their respective directors, officers and employees and, to the Knowledge of the Borrower, the agents of the Borrower and its Subsidiaries, are in compliance with applicable Anti-Corruption Laws and applicable Sanctions. The Borrower and its Subsidiaries have instituted and maintain policies and procedures designed to promote and achieve continued compliance therewith.</w:t>
      </w:r>
    </w:p>
    <w:p>
      <w:pPr>
        <w:pStyle w:val="TextBody"/>
        <w:bidi w:val="0"/>
        <w:spacing w:lineRule="auto" w:line="240" w:before="0" w:after="240"/>
        <w:ind w:left="0" w:right="0" w:firstLine="1440"/>
        <w:jc w:val="both"/>
        <w:rPr/>
      </w:pPr>
      <w:bookmarkStart w:id="318" w:name="i3f36ee4cd7034924966af41db8111206"/>
      <w:bookmarkEnd w:id="318"/>
      <w:r>
        <w:rPr>
          <w:rFonts w:ascii="Times New Roman;serif" w:hAnsi="Times New Roman;serif"/>
          <w:b w:val="false"/>
          <w:color w:val="000000"/>
          <w:sz w:val="22"/>
        </w:rPr>
        <w:t>(c)</w:t>
      </w:r>
      <w:r>
        <w:rPr>
          <w:rFonts w:ascii="Times New Roman;serif" w:hAnsi="Times New Roman;serif"/>
          <w:b w:val="false"/>
          <w:color w:val="000000"/>
          <w:sz w:val="22"/>
        </w:rPr>
        <w:t>No proceeds of the Loans, any Letter of Credit or any Borrowing hereunder will be used by the Borrower or any of its Subsidiaries directly or, to the Knowledge of the Borrower, indirectly, to fund any activities or business of or with any Person, or in any country or territory, that, at the time of such funding, is, or whose government is, the subject of Sanctions, except to the extent licensed or otherwise approved by OFAC.</w:t>
      </w:r>
    </w:p>
    <w:p>
      <w:pPr>
        <w:pStyle w:val="TextBody"/>
        <w:bidi w:val="0"/>
        <w:spacing w:lineRule="auto" w:line="240" w:before="0" w:after="0"/>
        <w:ind w:left="0" w:right="0" w:firstLine="720"/>
        <w:jc w:val="both"/>
        <w:rPr/>
      </w:pPr>
      <w:bookmarkStart w:id="319" w:name="i509abe25b19c49f4a18cebda3d44a65f"/>
      <w:bookmarkEnd w:id="319"/>
      <w:r>
        <w:rPr>
          <w:rFonts w:ascii="Times New Roman;serif" w:hAnsi="Times New Roman;serif"/>
          <w:b/>
          <w:color w:val="000000"/>
          <w:sz w:val="22"/>
        </w:rPr>
        <w:t>Section 4.21</w:t>
      </w:r>
      <w:r>
        <w:rPr>
          <w:rFonts w:ascii="Times New Roman;serif" w:hAnsi="Times New Roman;serif"/>
          <w:b/>
          <w:color w:val="000000"/>
          <w:sz w:val="22"/>
          <w:u w:val="single"/>
        </w:rPr>
        <w:t>Affected Financial Institutions</w:t>
      </w:r>
      <w:r>
        <w:rPr>
          <w:rFonts w:ascii="Times New Roman;serif" w:hAnsi="Times New Roman;serif"/>
          <w:b w:val="false"/>
          <w:color w:val="000000"/>
          <w:sz w:val="22"/>
        </w:rPr>
        <w:t>. Neither the Borrower nor any Subsidiary is an Affected Financial Institution.</w:t>
      </w:r>
    </w:p>
    <w:p>
      <w:pPr>
        <w:pStyle w:val="TextBody"/>
        <w:bidi w:val="0"/>
        <w:spacing w:lineRule="auto" w:line="240" w:before="0" w:after="0"/>
        <w:ind w:left="0" w:right="0" w:firstLine="720"/>
        <w:jc w:val="both"/>
        <w:rPr/>
      </w:pPr>
      <w:bookmarkStart w:id="320" w:name="ia3921d2987724b2793f1958e45134deb"/>
      <w:bookmarkEnd w:id="320"/>
      <w:r>
        <w:rPr>
          <w:rFonts w:ascii="Times New Roman;serif" w:hAnsi="Times New Roman;serif"/>
          <w:b/>
          <w:color w:val="000000"/>
          <w:sz w:val="22"/>
        </w:rPr>
        <w:t>Section 4.22</w:t>
      </w:r>
      <w:r>
        <w:rPr>
          <w:rFonts w:ascii="Times New Roman;serif" w:hAnsi="Times New Roman;serif"/>
          <w:b/>
          <w:color w:val="000000"/>
          <w:sz w:val="22"/>
          <w:u w:val="single"/>
        </w:rPr>
        <w:t>Healthcare Matters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4.22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and its Subsidiaries are in compliance in all material respects with all applicable Healthcare Laws.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Borrower nor any of its Subsidiaries has received written notice of any pending or, to the Knowledge of the Borrower or any Subsidiary, threatened claim, suit, proceeding, hearing, enforcement, audit, inspection, investigation, seizure, shutdown, notice of suspension or cancellation of a drug establishment license, medical device establishment registration or other license, arbitration or other similar correspondence or action from the DEA, the U.S. Department of Health and Human Services, the U.S. Department of Health and Human Services Office of Inspector General or any applicable Governmental Authority with jurisdiction over the safety, efficacy, development, manufacture, ownership, testing, storage, transportation, distribution, supply, packaging, processing, use, marketing, labeling, promotion, holding, import or export, disposal or sale or offer for sale of any product, service, operation or activity of the Loan Parties (each a “</w:t>
      </w:r>
      <w:r>
        <w:rPr>
          <w:rFonts w:ascii="Times New Roman;serif" w:hAnsi="Times New Roman;serif"/>
          <w:b w:val="false"/>
          <w:color w:val="000000"/>
          <w:sz w:val="22"/>
          <w:u w:val="single"/>
        </w:rPr>
        <w:t>Regulatory Authority</w:t>
      </w:r>
      <w:r>
        <w:rPr>
          <w:color w:val="000000"/>
        </w:rPr>
        <w:t>”</w:t>
      </w:r>
      <w:r>
        <w:rPr>
          <w:rFonts w:ascii="Times New Roman;serif" w:hAnsi="Times New Roman;serif"/>
          <w:b w:val="false"/>
          <w:color w:val="000000"/>
          <w:sz w:val="22"/>
        </w:rPr>
        <w:t xml:space="preserve">), alleging that any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036955"/>
                <wp:effectExtent l="0" t="0" r="0" b="0"/>
                <wp:wrapNone/>
                <wp:docPr id="226" name="Frame22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operation or activity of the Borrower or any of its Subsidiaries, or any of the products, is in material violation of any applicable Healthcare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would not reasonably be expected to have a Material Adverse Effect, the Borrower and each of its Subsidiaries have not received a Form FDA-483, notice of inspectional observation, notice of violation, Warning Letter, Untitled Letter, referral letter or similar administrative or regulatory letter or notice from FDA, any state board or other Regulatory Authority. To the knowledge of the Borrower and each of its Subsidiaries, there is no material outstanding act, omission, event, or circumstance necessary to address any inspection, inspectional finding, Form FDA-483 observation, Warning Letter, recall, investigation, penalty assessment, audit or other compliance or enforcement action by FDA, any State authority, or any other Regulatory Authority having responsibility for the regulation of products and manufacturing, sale and distribution activities by the Borrower and each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All products formulated, developed, manufactured, owned, tested, distributed, supplied, packaged, processed, used, held, stored, transported, sold, offered for sale, imported, exported, marketed, labeled, advertised, promoted or disposed by the Borrower or any of its Subsidiaries, as applicable, are being formulated, developed, researched, manufactured, owned, tested, distributed, supplied, packaged, processed, used, held, stored, transported, sold, offered for sale, imported, exported, marketed, labeled, advertised, promoted or disposed in compliance in all material respects with all applicable Healthcare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Except as would not reasonably be expected to have a Material Adverse Effect, the Borrower and each of its Subsidiaries have not, (i) voluntarily or involuntarily initiated, conducted or issued, or caused to be initiated, conducted or issued, any recall, field alert, field correction, market withdrawal or replacement, safety alert or other notice or action relating to an alleged lack of safety or regulatory compliance of any product, or (ii) as a result of any action taken by a Regulatory Authority against the Borrower and each of its Subsidiaries, terminated or suspended the marketing of any product. To the knowledge of the Borrower and each of its Subsidiaries, there are no facts or circumstances that would be reasonably likely to cause any Regulatory Authority to require the recall, market withdrawal or replacement of any product.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Borrower and each of its Subsidiaries possesses and is operating in material compliance with, all Healthcare Permits and all such Healthcare Permits are in full force and effect. The Borrower and each of the Subsidiaries has made all declarations and filings with the appropriate federal, state, local or foreign Governmental Authorities or Regulatory Authorities that are necessary for the Healthcare Permits. Neither the Borrower nor any Subsidiary has received written notice of any revocation, material modification, suspension or termination of any Healthcare Permit or has any reason to believe that any such Healthcare Permit will not be renewed in the ordinary course, except where such revocation, material modification, suspension, termination or non-renewal would not, individually or in the aggregate,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Neither the Borrower nor any of the Subsidiaries, or their respective officers, directors or employees, to the Knowledge of the Borrower, agents, clinical investigators and contractors, have been excluded, suspended or debarred from participation in any Federal Health Care Program or human clinical research or convicted of any crime or engaged in any conduct that would reasonably be expected to result in (i) debarment under 21 U.S.C. Section 335a or any similar Healthcare Law, (ii) exclusion under 42 U.S.C. Section 1320a-7 or any similar Healthcare Law, or (iii) disqualification or restriction by FDA or any Regulatory Authority, or to the Knowledge of the Borrower, is subject to a governmental inquiry, investigation, proceeding or similar action that would reasonably be expected to result in any of the actions set forth in the preceding clauses (i), (ii) or (iii).</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Neither the Borrower nor any Subsidiary has: (i) knowingly and willfully offered, paid, solicited or received any remuneration (including any kickback, bribe or rebate), directly or indirectly, overtly or covertly, in cash or in kind in return for, or to induce, the purchase, lease or order, or the arranging for or recommending of the purchase, lease or order, of any good, facility, item, or service for which payment may be made in whole or in part under any Federal Health Care Program or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036955"/>
                <wp:effectExtent l="0" t="0" r="0" b="0"/>
                <wp:wrapNone/>
                <wp:docPr id="227" name="Frame22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program outside the United States; or (ii) knowingly made any untrue statement of material fact or fraudulent statement to any Governmental Authority or failed to disclose a material fact required to be disclosed to a Governmental Authority.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There are no pending or, to the Knowledge of the Borrower or any Subsidiary, threatened material inquiries, inspections, audits, overpayments, qui tam actions, appeals, investigations, professional disciplinary or regulatory proceedings, or claims or other actions which relate to a material violation of any Healthcare Laws or which, if resolved in a manner adverse to the Borrower or its Subsidiaries, would result in the imposition of any material penalties under a Healthcare Law, restrict their ability under a Healthcare Law to conduct the business as currently conducted in any material respect, or result in their ineligibility, debarment, suspension, exclusion from participation in any Federal Health Care Program, and none of the Borrower or its Subsidiaries is currently or has been a party to a corporate integrity agreement, deferred prosecution agreement, consent decree, settlement, agreement or similar agreements or orders mandating or prohibiting future or past activities relating to the safety, efficacy, development, manufacture, testing, storage, transportation, distribution, supply, packaging, holding, import or export, marketing or sale of pharmaceutical products or medical devices, or has any reporting or disclosure obligations pursuant to a settlement agreement, plan or correction or other remedial measure entered into with any Regulatory Authority.</w:t>
      </w:r>
    </w:p>
    <w:p>
      <w:pPr>
        <w:pStyle w:val="TextBody"/>
        <w:bidi w:val="0"/>
        <w:spacing w:lineRule="auto" w:line="240" w:before="0" w:after="0"/>
        <w:ind w:left="0" w:right="0" w:firstLine="720"/>
        <w:jc w:val="both"/>
        <w:rPr/>
      </w:pPr>
      <w:bookmarkStart w:id="321" w:name="i03fa05378a98471fa0d0fa3c96515b97"/>
      <w:bookmarkEnd w:id="321"/>
      <w:r>
        <w:rPr>
          <w:rFonts w:ascii="Times New Roman;serif" w:hAnsi="Times New Roman;serif"/>
          <w:b/>
          <w:color w:val="000000"/>
          <w:sz w:val="22"/>
        </w:rPr>
        <w:t>Section 4.23</w:t>
      </w:r>
      <w:r>
        <w:rPr>
          <w:rFonts w:ascii="Times New Roman;serif" w:hAnsi="Times New Roman;serif"/>
          <w:b/>
          <w:color w:val="000000"/>
          <w:sz w:val="22"/>
          <w:u w:val="single"/>
        </w:rPr>
        <w:t>Use of Proceeds</w:t>
      </w:r>
      <w:r>
        <w:rPr>
          <w:rFonts w:ascii="Times New Roman;serif" w:hAnsi="Times New Roman;serif"/>
          <w:b w:val="false"/>
          <w:color w:val="000000"/>
          <w:sz w:val="22"/>
        </w:rPr>
        <w:t xml:space="preserve">. Each Borrowing and each request for a Letter of Credit hereunder will be used solely for the purposes permitted hereunder. </w:t>
      </w:r>
    </w:p>
    <w:p>
      <w:pPr>
        <w:pStyle w:val="TextBody"/>
        <w:bidi w:val="0"/>
        <w:spacing w:lineRule="auto" w:line="240" w:before="0" w:after="240"/>
        <w:jc w:val="center"/>
        <w:rPr/>
      </w:pPr>
      <w:bookmarkStart w:id="322" w:name="ib8dad95670e04359af4f9a10452361b4"/>
      <w:bookmarkEnd w:id="322"/>
      <w:r>
        <w:rPr>
          <w:rFonts w:ascii="Times New Roman;serif" w:hAnsi="Times New Roman;serif"/>
          <w:b/>
          <w:color w:val="000000"/>
          <w:sz w:val="22"/>
        </w:rPr>
        <w:t>Article V</w:t>
      </w:r>
      <w:r>
        <w:rPr>
          <w:rFonts w:ascii="Times New Roman;serif" w:hAnsi="Times New Roman;serif"/>
          <w:b/>
          <w:color w:val="000000"/>
          <w:sz w:val="22"/>
          <w:u w:val="single"/>
        </w:rPr>
        <w:b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Payment in Full of the Obligations, the Borrower covenants and agrees with the Lenders that:</w:t>
      </w:r>
    </w:p>
    <w:p>
      <w:pPr>
        <w:pStyle w:val="TextBody"/>
        <w:bidi w:val="0"/>
        <w:spacing w:lineRule="auto" w:line="240" w:before="0" w:after="0"/>
        <w:ind w:left="0" w:right="0" w:firstLine="720"/>
        <w:jc w:val="both"/>
        <w:rPr/>
      </w:pPr>
      <w:bookmarkStart w:id="323" w:name="i7c1d8f91df38450e97bcaecbfb45db45"/>
      <w:bookmarkEnd w:id="323"/>
      <w:r>
        <w:rPr>
          <w:rFonts w:ascii="Times New Roman;serif" w:hAnsi="Times New Roman;serif"/>
          <w:b/>
          <w:color w:val="000000"/>
          <w:sz w:val="22"/>
        </w:rPr>
        <w:t>Section 5.1</w:t>
      </w:r>
      <w:r>
        <w:rPr>
          <w:rFonts w:ascii="Times New Roman;serif" w:hAnsi="Times New Roman;serif"/>
          <w:b/>
          <w:color w:val="000000"/>
          <w:sz w:val="22"/>
          <w:u w:val="single"/>
        </w:rPr>
        <w:t>Financial Statements and Other Information</w:t>
      </w:r>
      <w:r>
        <w:rPr>
          <w:rFonts w:ascii="Times New Roman;serif" w:hAnsi="Times New Roman;serif"/>
          <w:b w:val="false"/>
          <w:color w:val="000000"/>
          <w:sz w:val="22"/>
        </w:rPr>
        <w:t>. The Borrower will deliver to the Administrative Agent (for distribution to the Lenders):</w:t>
      </w:r>
    </w:p>
    <w:p>
      <w:pPr>
        <w:pStyle w:val="TextBody"/>
        <w:bidi w:val="0"/>
        <w:spacing w:lineRule="auto" w:line="240" w:before="0" w:after="240"/>
        <w:ind w:left="0" w:right="0" w:firstLine="1440"/>
        <w:jc w:val="both"/>
        <w:rPr/>
      </w:pPr>
      <w:bookmarkStart w:id="324" w:name="i4c42d8a1903c48f5afeec31285ce1095"/>
      <w:bookmarkEnd w:id="324"/>
      <w:r>
        <w:rPr>
          <w:rFonts w:ascii="Times New Roman;serif" w:hAnsi="Times New Roman;serif"/>
          <w:b w:val="false"/>
          <w:color w:val="000000"/>
          <w:sz w:val="22"/>
        </w:rPr>
        <w:t>(a)</w:t>
      </w:r>
      <w:r>
        <w:rPr>
          <w:rFonts w:ascii="Times New Roman;serif" w:hAnsi="Times New Roman;serif"/>
          <w:b w:val="false"/>
          <w:color w:val="000000"/>
          <w:sz w:val="22"/>
        </w:rPr>
        <w:t>within 90 days after the end of each Fiscal Year of the Borrower (or if the Borrower is no longer required to file periodic reports under Section 13(a) or Section 15(d) of the Exchange Act, then 120 days after the end of each Fiscal Year) (commencing with the Fiscal Year ending December 31, 2025), a copy of the annual audited report for such Fiscal Year for the Borrower and its Subsidiaries, containing a consolidated balance sheet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together with a report by Deloitte &amp; Touche LLP or other independent public accountants of nationally recognized standing (without a “going concern” qualification, exception or explanation and without any qualification or exception as to the scope of such audit (other than any “going concern” or similar qualification, exception or explanation related to the maturity or refinancing of any Indebtedness or the anticipated or actual breach of any financial covenant)) stating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 together with management discussion and analysis solely to the extent the Borrower is no longer required to file periodic reports under Section 13(a) and Section 15(d) of the Exchange Act;</w:t>
      </w:r>
    </w:p>
    <w:p>
      <w:pPr>
        <w:pStyle w:val="TextBody"/>
        <w:bidi w:val="0"/>
        <w:spacing w:lineRule="auto" w:line="240" w:before="0" w:after="240"/>
        <w:ind w:left="0" w:right="0" w:firstLine="1440"/>
        <w:jc w:val="both"/>
        <w:rPr/>
      </w:pPr>
      <w:bookmarkStart w:id="325" w:name="i032c10a0fabb47389e06eccb2897dcb2"/>
      <w:bookmarkEnd w:id="325"/>
      <w:r>
        <w:rPr>
          <w:rFonts w:ascii="Times New Roman;serif" w:hAnsi="Times New Roman;serif"/>
          <w:b w:val="false"/>
          <w:color w:val="000000"/>
          <w:sz w:val="22"/>
        </w:rPr>
        <w:t>(b)</w:t>
      </w:r>
      <w:r>
        <w:rPr>
          <w:rFonts w:ascii="Times New Roman;serif" w:hAnsi="Times New Roman;serif"/>
          <w:b w:val="false"/>
          <w:color w:val="000000"/>
          <w:sz w:val="22"/>
        </w:rPr>
        <w:t xml:space="preserve">within 45 days (or if the Borrower is no longer required to file periodic reports under Section 13(a) or Section 15(d) of the Exchange Act, then 60 days after the end of each Fiscal Quarter) after the end of each Fiscal Quarter of the Borrower (other than the fourth Fiscal Quarter of each Fiscal Year) (commencing with the Fiscal Quarter ending March 31, 2026), an unaudited consolidated balance sheet of the Borrower and its Subsidiaries as of the end of such Fiscal Quarter and the related unaudited consolidated statements of income and cash flows of the Borrower and its Subsidiaries for such Fiscal Quarter and the then elapsed portion of such Fiscal Year, setting forth in each case in comparative form the figures for the corresponding Fiscal Quarter and the corresponding portion of the Borrower’s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036955"/>
                <wp:effectExtent l="0" t="0" r="0" b="0"/>
                <wp:wrapNone/>
                <wp:docPr id="228" name="Frame22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previous Fiscal Year, together with management discussion and analysis solely to the extent the Borrower is no longer required to file periodic reports under Section 13(a) and Section 15(d) of the Exchange Act;</w:t>
      </w:r>
    </w:p>
    <w:p>
      <w:pPr>
        <w:pStyle w:val="TextBody"/>
        <w:bidi w:val="0"/>
        <w:spacing w:lineRule="auto" w:line="240" w:before="0" w:after="240"/>
        <w:ind w:left="0" w:right="0" w:firstLine="1440"/>
        <w:jc w:val="both"/>
        <w:rPr/>
      </w:pPr>
      <w:bookmarkStart w:id="326" w:name="i25a0127b1c044d3eb3d3d0103919ac13"/>
      <w:bookmarkEnd w:id="326"/>
      <w:r>
        <w:rPr>
          <w:rFonts w:ascii="Times New Roman;serif" w:hAnsi="Times New Roman;serif"/>
          <w:b w:val="false"/>
          <w:color w:val="000000"/>
          <w:sz w:val="22"/>
        </w:rPr>
        <w:t>(c)</w:t>
      </w:r>
      <w:r>
        <w:rPr>
          <w:rFonts w:ascii="Times New Roman;serif" w:hAnsi="Times New Roman;serif"/>
          <w:b w:val="false"/>
          <w:color w:val="000000"/>
          <w:sz w:val="22"/>
        </w:rPr>
        <w:t>concurrently with the delivery of the financial statements referred to in subsections (a) and (b) of this Section, a Compliance Certificate signed by the principal executive officer or the principal financial officer of the Borrower (i) certifying as to whether there exists a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Article VI, (iii) specifying any change in the identity of the Subsidiaries as of the end of such Fiscal Year or Fiscal Quarter from the Subsidiaries identified to the Lenders on the Closing Date or as of the most recent Fiscal Year or Fiscal Quarter, as the case may be, and (iv) stating whether any change in GAAP or the application thereof has occurred since the date of the mostly recently delivered audited financial statements of the Borrower and its Subsidiaries, and, if any change has occurred, specifying the effect of such change on the financial statements accompanying such Compliance Certificate;</w:t>
      </w:r>
    </w:p>
    <w:p>
      <w:pPr>
        <w:pStyle w:val="TextBody"/>
        <w:bidi w:val="0"/>
        <w:spacing w:lineRule="auto" w:line="240" w:before="0" w:after="240"/>
        <w:ind w:left="0" w:right="0" w:firstLine="1440"/>
        <w:jc w:val="both"/>
        <w:rPr/>
      </w:pPr>
      <w:bookmarkStart w:id="327" w:name="i353590c5c85046bf8d0700092a0ecb5a"/>
      <w:bookmarkEnd w:id="327"/>
      <w:r>
        <w:rPr>
          <w:rFonts w:ascii="Times New Roman;serif" w:hAnsi="Times New Roman;serif"/>
          <w:b w:val="false"/>
          <w:color w:val="000000"/>
          <w:sz w:val="22"/>
        </w:rPr>
        <w:t>(d)</w:t>
      </w:r>
      <w:r>
        <w:rPr>
          <w:rFonts w:ascii="Times New Roman;serif" w:hAnsi="Times New Roman;serif"/>
          <w:b w:val="false"/>
          <w:color w:val="000000"/>
          <w:sz w:val="22"/>
        </w:rPr>
        <w:t>within 90 days after the end of each Fiscal Year of the Borrower (commencing with the Fiscal Year ending December 31, 2026), forecasts and a pro forma budget for the succeeding Fiscal Year, containing an income statement, balance sheet and statement of cash flow;</w:t>
      </w:r>
    </w:p>
    <w:p>
      <w:pPr>
        <w:pStyle w:val="TextBody"/>
        <w:bidi w:val="0"/>
        <w:spacing w:lineRule="auto" w:line="240" w:before="0" w:after="240"/>
        <w:ind w:left="0" w:right="0" w:firstLine="1440"/>
        <w:jc w:val="both"/>
        <w:rPr/>
      </w:pPr>
      <w:bookmarkStart w:id="328" w:name="i44cf84ed9e0544e396952aa2cb523d35"/>
      <w:bookmarkEnd w:id="328"/>
      <w:r>
        <w:rPr>
          <w:rFonts w:ascii="Times New Roman;serif" w:hAnsi="Times New Roman;serif"/>
          <w:b w:val="false"/>
          <w:color w:val="000000"/>
          <w:sz w:val="22"/>
        </w:rPr>
        <w:t>(e)</w:t>
      </w:r>
      <w:r>
        <w:rPr>
          <w:rFonts w:ascii="Times New Roman;serif" w:hAnsi="Times New Roman;serif"/>
          <w:b w:val="false"/>
          <w:color w:val="000000"/>
          <w:sz w:val="22"/>
        </w:rPr>
        <w:t>promptly after the same become publicly available, copies of all periodic and other reports, proxy statements and other materials filed with the Securities and Exchange Commission, or any Governmental Authority succeeding to any or all functions of said Commission, or with any national securities exchange, or distributed by the Borrower to its shareholders generally, as the case may be; and</w:t>
      </w:r>
    </w:p>
    <w:p>
      <w:pPr>
        <w:pStyle w:val="TextBody"/>
        <w:bidi w:val="0"/>
        <w:spacing w:lineRule="auto" w:line="240" w:before="0" w:after="240"/>
        <w:ind w:left="0" w:right="0" w:firstLine="1440"/>
        <w:jc w:val="both"/>
        <w:rPr/>
      </w:pPr>
      <w:bookmarkStart w:id="329" w:name="i3be8e125070b4fbb98c6647d182b2fba"/>
      <w:bookmarkEnd w:id="329"/>
      <w:r>
        <w:rPr>
          <w:rFonts w:ascii="Times New Roman;serif" w:hAnsi="Times New Roman;serif"/>
          <w:b w:val="false"/>
          <w:color w:val="000000"/>
          <w:sz w:val="22"/>
        </w:rPr>
        <w:t>(f)</w:t>
      </w:r>
      <w:r>
        <w:rPr>
          <w:rFonts w:ascii="Times New Roman;serif" w:hAnsi="Times New Roman;serif"/>
          <w:b w:val="false"/>
          <w:color w:val="000000"/>
          <w:sz w:val="22"/>
        </w:rPr>
        <w:t>promptly following any request therefor, (i) such other information regarding the results of operations, business affairs and financial condition of the Borrower or any of its Subsidiaries as the Administrative Agent or any Lender may reasonably request and (ii) information and documentation reasonably requested by the Administrative Agent or any Lender for purposes of compliance with applicable “know your customer” requirements under the Patriot Act or other applicable anti-money laundering laws.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So long as the Borrower is required to file periodic reports under Section 13(a) or Section 15(d) of the Exchange Act, the Borrower shall be deemed to have satisfied its obligation to deliver the financial statements and periodic and other reports, proxy statements and other materials referred to in clauses (a), (b) and (e) above upon the filing of such reports with the Securities and Exchange Commission.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Borrower hereby acknowledges that (a) the Administrative Agent and/or the Arrangers will make available to the Lenders and each Issuing Bank materials and/or information provided by or on behalf of the Borrower hereunder (collectively,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by posting the Borrower Materials on the Platform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such Borrower Materials constitute 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036955"/>
                <wp:effectExtent l="0" t="0" r="0" b="0"/>
                <wp:wrapNone/>
                <wp:docPr id="229" name="Frame22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information, they shall be treated as set forth in </w:t>
      </w:r>
      <w:r>
        <w:rPr>
          <w:rFonts w:ascii="Times New Roman;serif" w:hAnsi="Times New Roman;serif"/>
          <w:b w:val="false"/>
          <w:color w:val="000000"/>
          <w:sz w:val="22"/>
          <w:u w:val="single"/>
        </w:rPr>
        <w:t>Section 10.12</w:t>
      </w:r>
      <w:r>
        <w:rPr>
          <w:rFonts w:ascii="Times New Roman;serif" w:hAnsi="Times New Roman;serif"/>
          <w:b w:val="false"/>
          <w:color w:val="000000"/>
          <w:sz w:val="22"/>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pStyle w:val="TextBody"/>
        <w:bidi w:val="0"/>
        <w:spacing w:lineRule="auto" w:line="240" w:before="0" w:after="240"/>
        <w:ind w:left="0" w:right="0" w:firstLine="720"/>
        <w:jc w:val="both"/>
        <w:rPr/>
      </w:pPr>
      <w:bookmarkStart w:id="330" w:name="i7d8db5e96a394f3b928eb679a39c7df9"/>
      <w:bookmarkEnd w:id="330"/>
      <w:r>
        <w:rPr>
          <w:rFonts w:ascii="Times New Roman;serif" w:hAnsi="Times New Roman;serif"/>
          <w:b/>
          <w:color w:val="000000"/>
          <w:sz w:val="22"/>
        </w:rPr>
        <w:t>Section 5.2</w:t>
      </w:r>
      <w:r>
        <w:rPr>
          <w:rFonts w:ascii="Times New Roman;serif" w:hAnsi="Times New Roman;serif"/>
          <w:b/>
          <w:color w:val="000000"/>
          <w:sz w:val="22"/>
          <w:u w:val="single"/>
        </w:rPr>
        <w:t>Notices of Material Events.</w:t>
      </w:r>
    </w:p>
    <w:p>
      <w:pPr>
        <w:pStyle w:val="TextBody"/>
        <w:bidi w:val="0"/>
        <w:spacing w:lineRule="auto" w:line="240" w:before="0" w:after="240"/>
        <w:ind w:left="0" w:right="0" w:firstLine="1440"/>
        <w:jc w:val="both"/>
        <w:rPr/>
      </w:pPr>
      <w:bookmarkStart w:id="331" w:name="i836bbd0354474b9cb9a9f3d6c2d4aea6"/>
      <w:bookmarkEnd w:id="331"/>
      <w:r>
        <w:rPr>
          <w:rFonts w:ascii="Times New Roman;serif" w:hAnsi="Times New Roman;serif"/>
          <w:b w:val="false"/>
          <w:color w:val="000000"/>
          <w:sz w:val="22"/>
        </w:rPr>
        <w:t>(a)</w:t>
      </w:r>
      <w:r>
        <w:rPr>
          <w:rFonts w:ascii="Times New Roman;serif" w:hAnsi="Times New Roman;serif"/>
          <w:b w:val="false"/>
          <w:color w:val="000000"/>
          <w:sz w:val="22"/>
        </w:rPr>
        <w:t>The Borrower will furnish to the Administrative Agent (for distribution to the Lenders) prompt (and, in any event, not later than five (5) Business Days after a Responsible Officer becomes aware thereof, other than in the case of clause (iv) below) written notice of the following:</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2" w:name="iedac35dd84334027818a71ef49fa3394"/>
      <w:bookmarkEnd w:id="332"/>
      <w:r>
        <w:rPr>
          <w:rFonts w:ascii="Times New Roman;serif" w:hAnsi="Times New Roman;serif"/>
          <w:b w:val="false"/>
          <w:color w:val="000000"/>
          <w:sz w:val="22"/>
        </w:rPr>
        <w:t>(i)the occurrence of any Default or Event of Default;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3" w:name="i8eb009bb40c3460faa38b60da3e52326"/>
      <w:bookmarkEnd w:id="333"/>
      <w:r>
        <w:rPr>
          <w:rFonts w:ascii="Times New Roman;serif" w:hAnsi="Times New Roman;serif"/>
          <w:b w:val="false"/>
          <w:color w:val="000000"/>
          <w:sz w:val="22"/>
        </w:rPr>
        <w:t>(ii)the filing or commencement of, or any material development in, any action, suit or proceeding by or before any arbitrator or Governmental Authority against the Borrower or any of its Subsidiaries (including any of the foregoing that (x) seeks injunctive or similar relief or (y) alleges potential or actual violations of any Healthcare Law by the Borrower or any of its Subsidiaries) that would reasonably be expected to result in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4" w:name="ie8cebf11cc68482abd25f9d2085e41b3"/>
      <w:bookmarkEnd w:id="334"/>
      <w:r>
        <w:rPr>
          <w:rFonts w:ascii="Times New Roman;serif" w:hAnsi="Times New Roman;serif"/>
          <w:b w:val="false"/>
          <w:color w:val="000000"/>
          <w:sz w:val="22"/>
        </w:rPr>
        <w:t xml:space="preserve">(iii)the occurrence of any event or any other development by which the Borrower or any of its Subsidiaries (A) fails to comply with any Environmental Law or to obtain, maintain or comply with any permit, license or other approval required under any Environmental Law, (B) becomes subject to any Environmental Liability, (C) receives notice of any claim with respect to any Environmental Liability, or (D) becomes aware of any basis for any Environmental Liability, in each case of the foregoing clauses (A) through (D) which, either individually or in the aggregate, would reasonably be expected to result in a Material Adverse Effect;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5" w:name="i17e61db9c4b5473d8a091f80da201ec3"/>
      <w:bookmarkEnd w:id="335"/>
      <w:r>
        <w:rPr>
          <w:rFonts w:ascii="Times New Roman;serif" w:hAnsi="Times New Roman;serif"/>
          <w:b w:val="false"/>
          <w:color w:val="000000"/>
          <w:sz w:val="22"/>
        </w:rPr>
        <w:t>(iv)promptly and in any event within 30 days after the Borrower, any of its Subsidiaries or, to the Knowledge of the Borrower, any ERISA Affiliate (A) knows or would reasonably be expected to know that any ERISA Event has occurred, a certificate of the chief financial officer of the Borrower describing such ERISA Event and the action, if any, proposed to be taken with respect to such ERISA Event and a copy of any notice filed with the PBGC or the IRS pertaining to such ERISA Event and any notices received by the Borrower, such Subsidiary or such ERISA Affiliate from the PBGC or any other Governmental Authority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the Borrower, any of its Subsidiaries or any ERISA Affiliate, or (4) of the adoption of any amendment to a Plan subject to Section 412 of the Code which results in a material increase in contribution obligations of the Borrower, any of its Subsidiaries or any ERISA Affiliate, a detailed written description thereof from the chief financial officer of the Borrower, in each case of the foregoing clauses (A) and (B), which, either individually or in the aggregate, would reasonably be expected to result in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6" w:name="i5a6cecfdedc34e449f7b638539a4a4af"/>
      <w:bookmarkEnd w:id="336"/>
      <w:r>
        <w:rPr>
          <w:rFonts w:ascii="Times New Roman;serif" w:hAnsi="Times New Roman;serif"/>
          <w:b w:val="false"/>
          <w:color w:val="000000"/>
          <w:sz w:val="22"/>
        </w:rPr>
        <w:t>(v)the occurrence of any default or event of default, or the receipt by the Borrower or any of its Subsidiaries of any written notice of an alleged default or event of default, with respect to any Material Indebtedness of the Borrower or any of its Subsidiaries;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7" w:name="i7a0eb6529efa4342963b3891b36fbcbd"/>
      <w:bookmarkEnd w:id="337"/>
      <w:r>
        <w:rPr>
          <w:rFonts w:ascii="Times New Roman;serif" w:hAnsi="Times New Roman;serif"/>
          <w:b w:val="false"/>
          <w:color w:val="000000"/>
          <w:sz w:val="22"/>
        </w:rPr>
        <w:t xml:space="preserve">(vi)any change in the information provided in the Beneficial Ownership Certification that would result in a change to the list of beneficial owners identified in parts (c) and (d) of such certification and, promptly upon the reasonable request of the Administrative Agent or any Lender, provide the Administrative Agent or such Lender, as the case may be, any information or documentation requested by it for purposes of complying with the Beneficial Ownership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036955"/>
                <wp:effectExtent l="0" t="0" r="0" b="0"/>
                <wp:wrapNone/>
                <wp:docPr id="230" name="Frame22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8" w:name="i4e43706ceee4499f8a4c12a4788eb0e6"/>
      <w:bookmarkEnd w:id="338"/>
      <w:r>
        <w:rPr>
          <w:rFonts w:ascii="Times New Roman;serif" w:hAnsi="Times New Roman;serif"/>
          <w:b w:val="false"/>
          <w:color w:val="000000"/>
          <w:sz w:val="22"/>
        </w:rPr>
        <w:t>(vii)the receipt of any correspondence (i) to the FDA (or analogous foreign, state or local Governmental Authority) from the Borrower or any Subsidiary or (ii) to the Borrower or any Subsidiary from the FDA (or analogous foreign, state or local Governmental Authority) (including any so called “warning letter”, “untitled letter”, FDA Form 483 or similar notification), in each case, that contains information or data that, in the reasonable judgment of the Borrower, has resulted or is reasonably expected to result in a significant adverse change to the label (package insert) for any drug offered for commercial sale by the Borrower or any of its Subsidiary at the time of such correspondence;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39" w:name="if2a74e924ba94d3984d57a2aa3fd4d5d"/>
      <w:bookmarkEnd w:id="339"/>
      <w:r>
        <w:rPr>
          <w:rFonts w:ascii="Times New Roman;serif" w:hAnsi="Times New Roman;serif"/>
          <w:b w:val="false"/>
          <w:color w:val="000000"/>
          <w:sz w:val="22"/>
        </w:rPr>
        <w:t>(viii)the receipt of any so called “warning letter”, “untitled letter”, FDA Form 483 or similar notification, in each case, from the FDA (or analogous foreign, state or local Governmental Authority) that identifies any material manufacturing deficiencies (whether by any Loan Party or any Subsidiary and/or by any such Loan Party’s or such Subsidiary’s suppliers, contract manufacturers, and/or third-party manufacturers) with respect to any drug offered for commercial sale by the Borrower or any of its Subsidiaries;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0" w:name="i1cb264d3f0eb41ed8ad57e1b97eb13a3"/>
      <w:bookmarkEnd w:id="340"/>
      <w:r>
        <w:rPr>
          <w:rFonts w:ascii="Times New Roman;serif" w:hAnsi="Times New Roman;serif"/>
          <w:b w:val="false"/>
          <w:color w:val="000000"/>
          <w:sz w:val="22"/>
        </w:rPr>
        <w:t xml:space="preserve">(ix)receipt by the Borrower or any of its Subsidiaries of any written notice from a Governmental Authority that the Borrower or any of its Subsidiaries is subject to a civil or criminal investigation, inquiry or audit involving and/or related to its compliance with Healthcare Laws which, if adversely determined, would reasonably be expected to have a Material Adverse Effect;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1" w:name="i5466664e6d2a498093915a169a389335"/>
      <w:bookmarkEnd w:id="341"/>
      <w:r>
        <w:rPr>
          <w:rFonts w:ascii="Times New Roman;serif" w:hAnsi="Times New Roman;serif"/>
          <w:b w:val="false"/>
          <w:color w:val="000000"/>
          <w:sz w:val="22"/>
        </w:rPr>
        <w:t>(x)receipt by the Borrower or any of its Subsidiaries from any Governmental Authority notice of the imposition of any forfeiture or the designation of a hearing that could result in the expiration, termination, revocation, impairment or suspension of any Healthcare Permit that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2" w:name="icae0b5888f834038b39e4c1608a17697"/>
      <w:bookmarkEnd w:id="342"/>
      <w:r>
        <w:rPr>
          <w:rFonts w:ascii="Times New Roman;serif" w:hAnsi="Times New Roman;serif"/>
          <w:b w:val="false"/>
          <w:color w:val="000000"/>
          <w:sz w:val="22"/>
        </w:rPr>
        <w:t>(xi)[reserved];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3" w:name="ib4dd76f84ddb434f9881b321528660ca"/>
      <w:bookmarkEnd w:id="343"/>
      <w:r>
        <w:rPr>
          <w:rFonts w:ascii="Times New Roman;serif" w:hAnsi="Times New Roman;serif"/>
          <w:b w:val="false"/>
          <w:color w:val="000000"/>
          <w:sz w:val="22"/>
        </w:rPr>
        <w:t>(xii)any other development that results in, or would reasonably be expected to result in, a Material Adverse Effect.</w:t>
      </w:r>
    </w:p>
    <w:p>
      <w:pPr>
        <w:pStyle w:val="TextBody"/>
        <w:bidi w:val="0"/>
        <w:spacing w:lineRule="auto" w:line="240" w:before="0" w:after="240"/>
        <w:ind w:left="0" w:right="0" w:firstLine="1440"/>
        <w:jc w:val="both"/>
        <w:rPr/>
      </w:pPr>
      <w:bookmarkStart w:id="344" w:name="ic38269de095a4cbfbf1adda2ae2fef12"/>
      <w:bookmarkEnd w:id="344"/>
      <w:r>
        <w:rPr>
          <w:rFonts w:ascii="Times New Roman;serif" w:hAnsi="Times New Roman;serif"/>
          <w:b w:val="false"/>
          <w:color w:val="000000"/>
          <w:sz w:val="22"/>
        </w:rPr>
        <w:t>(b)</w:t>
      </w:r>
      <w:r>
        <w:rPr>
          <w:rFonts w:ascii="Times New Roman;serif" w:hAnsi="Times New Roman;serif"/>
          <w:b w:val="false"/>
          <w:color w:val="000000"/>
          <w:sz w:val="22"/>
        </w:rPr>
        <w:t>The Borrower will furnish to the Administrative Agent (for distribution to the Lenders) the following:</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5" w:name="i39890eff588041d985bf3bcc4a285b87"/>
      <w:bookmarkEnd w:id="345"/>
      <w:r>
        <w:rPr>
          <w:rFonts w:ascii="Times New Roman;serif" w:hAnsi="Times New Roman;serif"/>
          <w:b w:val="false"/>
          <w:color w:val="000000"/>
          <w:sz w:val="22"/>
        </w:rPr>
        <w:t>(i)notice of any change (i) in any Loan Party’s legal name, (ii) in any Loan Party’s chief executive office or its principal place of business, (iii) in any Loan Party’s identity or legal structure, (iv) in any Loan Party’s federal taxpayer identification number or organizational number or (v) in any Loan Party’s jurisdiction of organization, in each case, within 30 days after such change (or such longer period as the Administrative Agent may agree in its reasonable discretion); and</w:t>
      </w:r>
    </w:p>
    <w:p>
      <w:pPr>
        <w:pStyle w:val="TextBody"/>
        <w:bidi w:val="0"/>
        <w:spacing w:lineRule="auto" w:line="240" w:before="0" w:after="240"/>
        <w:ind w:left="0" w:right="0" w:firstLine="1440"/>
        <w:jc w:val="both"/>
        <w:rPr/>
      </w:pPr>
      <w:bookmarkStart w:id="346" w:name="i4ccca6bae7214525a1c3b8ac244725f3"/>
      <w:bookmarkEnd w:id="346"/>
      <w:r>
        <w:rPr>
          <w:rFonts w:ascii="Times New Roman;serif" w:hAnsi="Times New Roman;serif"/>
          <w:b w:val="false"/>
          <w:color w:val="000000"/>
          <w:sz w:val="22"/>
        </w:rPr>
        <w:t>(ii)within 30 days after receipt thereof (or such longer period as the Administrative Agent may agree in its reasonable discretion), a copy of any environmental report or site assessment obtained by or for the Borrower or any of its Subsidiaries after the Closing Date on any Material Real Estate.</w:t>
      </w:r>
      <w:r>
        <w:rPr>
          <w:color w:val="000000"/>
        </w:rPr>
        <w:t xml:space="preserve"> </w:t>
      </w:r>
    </w:p>
    <w:p>
      <w:pPr>
        <w:pStyle w:val="TextBody"/>
        <w:bidi w:val="0"/>
        <w:spacing w:lineRule="auto" w:line="240" w:before="0" w:after="0"/>
        <w:ind w:left="0" w:right="0" w:firstLine="720"/>
        <w:jc w:val="both"/>
        <w:rPr/>
      </w:pPr>
      <w:bookmarkStart w:id="347" w:name="i8827abb577e5410a89b68aa9acd20c4f"/>
      <w:bookmarkEnd w:id="347"/>
      <w:r>
        <w:rPr>
          <w:rFonts w:ascii="Times New Roman;serif" w:hAnsi="Times New Roman;serif"/>
          <w:b/>
          <w:color w:val="000000"/>
          <w:sz w:val="22"/>
        </w:rPr>
        <w:t>Section 5.3</w:t>
      </w:r>
      <w:r>
        <w:rPr>
          <w:rFonts w:ascii="Times New Roman;serif" w:hAnsi="Times New Roman;serif"/>
          <w:b/>
          <w:color w:val="000000"/>
          <w:sz w:val="22"/>
          <w:u w:val="single"/>
        </w:rPr>
        <w:t>Existence; Conduct of Business</w:t>
      </w:r>
      <w:r>
        <w:rPr>
          <w:rFonts w:ascii="Times New Roman;serif" w:hAnsi="Times New Roman;serif"/>
          <w:b w:val="false"/>
          <w:color w:val="000000"/>
          <w:sz w:val="22"/>
        </w:rPr>
        <w:t xml:space="preserve">. The Borrower will, and will cause each of its Subsidiaries (other than Immaterial Subsidiaries) to, do or cause to be done all things necessary to (i) preserve, renew and maintain in full force and effect its legal existence and (ii) preserve, renew and maintain its respective rights, licenses, permits, privileges, franchises, patents, copyrights, trademarks and trade names material to the conduct of its business (except, in the case of this clause (ii), as would not reasonably be expected to result in a Material Adverse Effect); provided that nothing in this Section shall prohibit any merger, consolidation, liquidation or dissolution permitted under </w:t>
      </w:r>
      <w:r>
        <w:rPr>
          <w:rFonts w:ascii="Times New Roman;serif" w:hAnsi="Times New Roman;serif"/>
          <w:b w:val="false"/>
          <w:color w:val="000000"/>
          <w:sz w:val="22"/>
          <w:u w:val="single"/>
        </w:rPr>
        <w:t>Sections 7.3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7.6</w:t>
      </w:r>
      <w:r>
        <w:rPr>
          <w:rFonts w:ascii="Times New Roman;serif" w:hAnsi="Times New Roman;serif"/>
          <w:b w:val="false"/>
          <w:color w:val="000000"/>
          <w:sz w:val="22"/>
        </w:rPr>
        <w:t>.</w:t>
      </w:r>
    </w:p>
    <w:p>
      <w:pPr>
        <w:pStyle w:val="TextBody"/>
        <w:bidi w:val="0"/>
        <w:spacing w:lineRule="auto" w:line="240"/>
        <w:ind w:left="0" w:right="0" w:firstLine="720"/>
        <w:jc w:val="both"/>
        <w:rPr/>
      </w:pPr>
      <w:bookmarkStart w:id="348" w:name="id04b3208fb4a4c349e27a474163d880d"/>
      <w:bookmarkEnd w:id="348"/>
      <w:r>
        <w:rPr>
          <w:rFonts w:ascii="Times New Roman;serif" w:hAnsi="Times New Roman;serif"/>
          <w:b/>
          <w:color w:val="000000"/>
          <w:sz w:val="22"/>
        </w:rPr>
        <w:t>Section 5.4</w:t>
      </w:r>
      <w:r>
        <w:rPr>
          <w:rFonts w:ascii="Times New Roman;serif" w:hAnsi="Times New Roman;serif"/>
          <w:b/>
          <w:color w:val="000000"/>
          <w:sz w:val="22"/>
          <w:u w:val="single"/>
        </w:rPr>
        <w:t>Compliance with Laws</w:t>
      </w:r>
      <w:r>
        <w:rPr>
          <w:rFonts w:ascii="Times New Roman;serif" w:hAnsi="Times New Roman;serif"/>
          <w:b w:val="false"/>
          <w:color w:val="000000"/>
          <w:sz w:val="22"/>
        </w:rPr>
        <w:t xml:space="preserve">. The Borrower will, and will cause each of its Subsidiaries to, comply with all laws, rules, regulations and requirements of any Governmental Authority applicable to its business and properties, including all Healthcare Laws, Environmental Laws, ERISA and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036955"/>
                <wp:effectExtent l="0" t="0" r="0" b="0"/>
                <wp:wrapNone/>
                <wp:docPr id="231" name="Frame22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OSHA, except where the failure to do so, either individually or in the aggregate, would not reasonably be expected to result in a Material Adverse Effect. </w:t>
      </w:r>
    </w:p>
    <w:p>
      <w:pPr>
        <w:pStyle w:val="TextBody"/>
        <w:bidi w:val="0"/>
        <w:spacing w:lineRule="auto" w:line="240" w:before="0" w:after="0"/>
        <w:ind w:left="0" w:right="0" w:firstLine="720"/>
        <w:jc w:val="both"/>
        <w:rPr/>
      </w:pPr>
      <w:bookmarkStart w:id="349" w:name="ie1b17c43318845d1996677bffa503615"/>
      <w:bookmarkEnd w:id="349"/>
      <w:r>
        <w:rPr>
          <w:rFonts w:ascii="Times New Roman;serif" w:hAnsi="Times New Roman;serif"/>
          <w:b/>
          <w:color w:val="000000"/>
          <w:sz w:val="22"/>
        </w:rPr>
        <w:t>Section 5.5</w:t>
      </w:r>
      <w:r>
        <w:rPr>
          <w:rFonts w:ascii="Times New Roman;serif" w:hAnsi="Times New Roman;serif"/>
          <w:b/>
          <w:color w:val="000000"/>
          <w:sz w:val="22"/>
          <w:u w:val="single"/>
        </w:rPr>
        <w:t>Payment of Obligations</w:t>
      </w:r>
      <w:r>
        <w:rPr>
          <w:rFonts w:ascii="Times New Roman;serif" w:hAnsi="Times New Roman;serif"/>
          <w:b w:val="false"/>
          <w:color w:val="000000"/>
          <w:sz w:val="22"/>
        </w:rPr>
        <w:t xml:space="preserve">. The Borrower will, and will cause each of its Subsidiaries to, pay and discharge at or before maturity all of its obligations and liabilities (including all material Taxes, assessments and other governmental charges, levies and all other claims that could result in a statutory Lien (other than a Lien otherwise permitted under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but excluding any Indebtedness described under </w:t>
      </w:r>
      <w:r>
        <w:rPr>
          <w:rFonts w:ascii="Times New Roman;serif" w:hAnsi="Times New Roman;serif"/>
          <w:b w:val="false"/>
          <w:color w:val="000000"/>
          <w:sz w:val="22"/>
          <w:u w:val="single"/>
        </w:rPr>
        <w:t>Section 8.1(f)</w:t>
      </w:r>
      <w:r>
        <w:rPr>
          <w:rFonts w:ascii="Times New Roman;serif" w:hAnsi="Times New Roman;serif"/>
          <w:b w:val="false"/>
          <w:color w:val="000000"/>
          <w:sz w:val="22"/>
        </w:rPr>
        <w:t>) before the same shall become delinquent or in default, except where (a) the validity or amount thereof is being contested in good faith by appropriate proceedings and the Borrower or such Subsidiary has set aside on its books adequate reserves with respect thereto in accordance with GAAP or (b) the failure to make any such payment would not reasonably be expected to result in a Material Adverse Effect.</w:t>
      </w:r>
    </w:p>
    <w:p>
      <w:pPr>
        <w:pStyle w:val="TextBody"/>
        <w:bidi w:val="0"/>
        <w:spacing w:lineRule="auto" w:line="240" w:before="0" w:after="0"/>
        <w:ind w:left="0" w:right="0" w:firstLine="720"/>
        <w:jc w:val="both"/>
        <w:rPr/>
      </w:pPr>
      <w:bookmarkStart w:id="350" w:name="i07edd7e5f9f1464ebf6d05a3e9cc6332"/>
      <w:bookmarkEnd w:id="350"/>
      <w:r>
        <w:rPr>
          <w:rFonts w:ascii="Times New Roman;serif" w:hAnsi="Times New Roman;serif"/>
          <w:b/>
          <w:color w:val="000000"/>
          <w:sz w:val="22"/>
        </w:rPr>
        <w:t>Section 5.6</w:t>
      </w:r>
      <w:r>
        <w:rPr>
          <w:rFonts w:ascii="Times New Roman;serif" w:hAnsi="Times New Roman;serif"/>
          <w:b/>
          <w:color w:val="000000"/>
          <w:sz w:val="22"/>
          <w:u w:val="single"/>
        </w:rPr>
        <w:t>Books and Records</w:t>
      </w:r>
      <w:r>
        <w:rPr>
          <w:rFonts w:ascii="Times New Roman;serif" w:hAnsi="Times New Roman;serif"/>
          <w:b w:val="false"/>
          <w:color w:val="000000"/>
          <w:sz w:val="22"/>
        </w:rPr>
        <w:t>. The Borrower will, and will cause each of its Subsidiaries to, keep proper books of record and account in which entries that are full, true and correct in all material respects shall be made of all dealings and transactions in relation to its business and activities to the extent necessary to prepare the consolidated financial statements of the Borrower in conformity with GAAP.</w:t>
      </w:r>
    </w:p>
    <w:p>
      <w:pPr>
        <w:pStyle w:val="TextBody"/>
        <w:bidi w:val="0"/>
        <w:spacing w:lineRule="auto" w:line="240" w:before="0" w:after="0"/>
        <w:ind w:left="0" w:right="0" w:firstLine="720"/>
        <w:jc w:val="both"/>
        <w:rPr/>
      </w:pPr>
      <w:bookmarkStart w:id="351" w:name="icbfd36e2ae0142edb7233a0343f3a8ef"/>
      <w:bookmarkEnd w:id="351"/>
      <w:r>
        <w:rPr>
          <w:rFonts w:ascii="Times New Roman;serif" w:hAnsi="Times New Roman;serif"/>
          <w:b/>
          <w:color w:val="000000"/>
          <w:sz w:val="22"/>
        </w:rPr>
        <w:t>Section 5.7</w:t>
      </w:r>
      <w:r>
        <w:rPr>
          <w:rFonts w:ascii="Times New Roman;serif" w:hAnsi="Times New Roman;serif"/>
          <w:b/>
          <w:color w:val="000000"/>
          <w:sz w:val="22"/>
          <w:u w:val="single"/>
        </w:rPr>
        <w:t>Visitation and Inspection; Lender Calls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352" w:name="iad02f4b2deec4a81b4ecec972ce46a93"/>
      <w:bookmarkEnd w:id="352"/>
      <w:r>
        <w:rPr>
          <w:rFonts w:ascii="Times New Roman;serif" w:hAnsi="Times New Roman;serif"/>
          <w:b w:val="false"/>
          <w:color w:val="000000"/>
          <w:sz w:val="22"/>
        </w:rPr>
        <w:t>(a)</w:t>
      </w:r>
      <w:r>
        <w:rPr>
          <w:rFonts w:ascii="Times New Roman;serif" w:hAnsi="Times New Roman;serif"/>
          <w:b w:val="false"/>
          <w:color w:val="000000"/>
          <w:sz w:val="22"/>
        </w:rPr>
        <w:t xml:space="preserve">The Borrower will, and will cause each of its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all at such reasonable times the Administrative Agent or any Lender may reasonably request after reasonable prior notice to the Borrower; provided that (i) so long as no Event of Default shall have occurred and be continuing, the Administrative Agent and the Lenders shall not make more than one (1) such visit and inspection in any Fiscal Year; (ii) if an Event of Default has occurred and is continuing, no prior notice shall be required and the limitation on the number of visits and inspections shall no longer apply; and (iii) any such inspection and examination, copies and discussions shall not be permitted to the extent it would violate confidentiality agreements or result in a loss of attorney-client privilege or claim of attorney work product so long as the Borrower notifies the Administrative Agent of such limitation and the reason therefor. </w:t>
      </w:r>
    </w:p>
    <w:p>
      <w:pPr>
        <w:pStyle w:val="TextBody"/>
        <w:bidi w:val="0"/>
        <w:spacing w:lineRule="auto" w:line="240" w:before="0" w:after="240"/>
        <w:ind w:left="0" w:right="0" w:firstLine="1440"/>
        <w:jc w:val="both"/>
        <w:rPr/>
      </w:pPr>
      <w:bookmarkStart w:id="353" w:name="i873b761106764a9db9b0f03ff37b05e1"/>
      <w:bookmarkEnd w:id="353"/>
      <w:r>
        <w:rPr>
          <w:rFonts w:ascii="Times New Roman;serif" w:hAnsi="Times New Roman;serif"/>
          <w:b w:val="false"/>
          <w:color w:val="000000"/>
          <w:sz w:val="22"/>
        </w:rPr>
        <w:t>(b)</w:t>
      </w:r>
      <w:r>
        <w:rPr>
          <w:rFonts w:ascii="Times New Roman;serif" w:hAnsi="Times New Roman;serif"/>
          <w:b w:val="false"/>
          <w:color w:val="000000"/>
          <w:sz w:val="22"/>
        </w:rPr>
        <w:t xml:space="preserve">The Borrower will hold a quarterly conference call (at a time mutually agreed upon by the Borrower and the Administrative Agent) with all Lenders who choose to attend such conference call to discuss the results of the previous fiscal quarter;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the requirement set forth in this </w:t>
      </w:r>
      <w:r>
        <w:rPr>
          <w:rFonts w:ascii="Times New Roman;serif" w:hAnsi="Times New Roman;serif"/>
          <w:b w:val="false"/>
          <w:color w:val="000000"/>
          <w:sz w:val="22"/>
          <w:u w:val="single"/>
        </w:rPr>
        <w:t>Section 5.7(b)</w:t>
      </w:r>
      <w:r>
        <w:rPr>
          <w:color w:val="000000"/>
        </w:rPr>
        <w:t xml:space="preserve"> </w:t>
      </w:r>
      <w:r>
        <w:rPr>
          <w:rFonts w:ascii="Times New Roman;serif" w:hAnsi="Times New Roman;serif"/>
          <w:b w:val="false"/>
          <w:color w:val="000000"/>
          <w:sz w:val="22"/>
        </w:rPr>
        <w:t xml:space="preserve">may be satisfied with an earnings call held for the benefit of the Borrower’s securities holders that is open to the Lenders. </w:t>
      </w:r>
    </w:p>
    <w:p>
      <w:pPr>
        <w:pStyle w:val="TextBody"/>
        <w:bidi w:val="0"/>
        <w:spacing w:lineRule="auto" w:line="240" w:before="0" w:after="0"/>
        <w:ind w:left="0" w:right="0" w:firstLine="720"/>
        <w:jc w:val="both"/>
        <w:rPr/>
      </w:pPr>
      <w:bookmarkStart w:id="354" w:name="i35be9a59a9f444f78d86c60c78772a87"/>
      <w:bookmarkEnd w:id="354"/>
      <w:r>
        <w:rPr>
          <w:rFonts w:ascii="Times New Roman;serif" w:hAnsi="Times New Roman;serif"/>
          <w:b/>
          <w:color w:val="000000"/>
          <w:sz w:val="22"/>
        </w:rPr>
        <w:t>Section 5.8</w:t>
      </w:r>
      <w:r>
        <w:rPr>
          <w:rFonts w:ascii="Times New Roman;serif" w:hAnsi="Times New Roman;serif"/>
          <w:b/>
          <w:color w:val="000000"/>
          <w:sz w:val="22"/>
          <w:u w:val="single"/>
        </w:rPr>
        <w:t>Maintenance of Properties; Insurance</w:t>
      </w:r>
      <w:r>
        <w:rPr>
          <w:rFonts w:ascii="Times New Roman;serif" w:hAnsi="Times New Roman;serif"/>
          <w:b w:val="false"/>
          <w:color w:val="000000"/>
          <w:sz w:val="22"/>
        </w:rPr>
        <w:t xml:space="preserve">. The Borrower will, and will cause each of its Subsidiaries to, (a) keep and maintain all property material to the conduct of its business in good working order and condition, ordinary wear and tear, force majeure, casualty and condemnation events excepted, (b) maintain with financially sound and reputable insurance companies which are not Affiliates of the Borrower (i) insurance with respect to its properties and business, and the properties and business of its Subsidiaries, against loss or damage of the kinds customarily insured against by companies in the same or similar businesses operating in the same or similar locations (including, in any event, flood insurance as described in the definition of and required by the Real Estate Documents) and (ii) all insurance required to be maintained pursuant to the Collateral Documents, and will, upon request of the Administrative Agent, furnish to the Administrative Agent at reasonable intervals a certificate of a Responsible Officer setting forth the nature and extent of all insurance maintained by the Borrower and its Subsidiaries in accordance with this Section (and if requested by the Administrative Agent a copy of any policy referenced therein if not already delivered), and (c) solely with respect to any such insurance held by the Borrower and its Subsidiaries, at all times shall name the Administrative Agent as additional insured on all general liability policies of the Borrower and its Subsidiaries and as lender loss payee (pursuant to a loss payee endorsement approved by the Administrative Agent) on all casualty and property insurance policies of the Borrower and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so long as no Event of Default shall have occurred and be continuing, the Administrative Agent shall not make more than two requests for a certificate pursuant to clause (b)(ii) of this Section in any Fiscal Year and (y) if an Event of Default has occurred and is continuing, the limitation on the number of requests for such a certificate shall no longer apply. </w:t>
      </w:r>
    </w:p>
    <w:p>
      <w:pPr>
        <w:pStyle w:val="TextBody"/>
        <w:bidi w:val="0"/>
        <w:spacing w:lineRule="auto" w:line="240"/>
        <w:ind w:left="0" w:right="0" w:firstLine="720"/>
        <w:jc w:val="both"/>
        <w:rPr/>
      </w:pPr>
      <w:bookmarkStart w:id="355" w:name="i52c3313bfa464dab85007fb8f2e7cea3"/>
      <w:bookmarkEnd w:id="355"/>
      <w:r>
        <w:rPr>
          <w:rFonts w:ascii="Times New Roman;serif" w:hAnsi="Times New Roman;serif"/>
          <w:b/>
          <w:color w:val="000000"/>
          <w:sz w:val="22"/>
        </w:rPr>
        <w:t>Section 5.9</w:t>
      </w:r>
      <w:r>
        <w:rPr>
          <w:rFonts w:ascii="Times New Roman;serif" w:hAnsi="Times New Roman;serif"/>
          <w:b/>
          <w:color w:val="000000"/>
          <w:sz w:val="22"/>
          <w:u w:val="single"/>
        </w:rPr>
        <w:t>Use of Proceeds; Margin Regulations</w:t>
      </w:r>
      <w:r>
        <w:rPr>
          <w:rFonts w:ascii="Times New Roman;serif" w:hAnsi="Times New Roman;serif"/>
          <w:b w:val="false"/>
          <w:color w:val="000000"/>
          <w:sz w:val="22"/>
        </w:rPr>
        <w: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036955"/>
                <wp:effectExtent l="0" t="0" r="0" b="0"/>
                <wp:wrapNone/>
                <wp:docPr id="232" name="Frame23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40" w:before="0" w:after="240"/>
        <w:ind w:left="0" w:right="0" w:firstLine="1440"/>
        <w:jc w:val="both"/>
        <w:rPr/>
      </w:pPr>
      <w:bookmarkStart w:id="356" w:name="if4f8830b094b4cae926e7862de229f6d"/>
      <w:bookmarkEnd w:id="356"/>
      <w:r>
        <w:rPr>
          <w:rFonts w:ascii="Times New Roman;serif" w:hAnsi="Times New Roman;serif"/>
          <w:b w:val="false"/>
          <w:color w:val="000000"/>
          <w:sz w:val="22"/>
        </w:rPr>
        <w:t>(a)</w:t>
      </w:r>
      <w:r>
        <w:rPr>
          <w:rFonts w:ascii="Times New Roman;serif" w:hAnsi="Times New Roman;serif"/>
          <w:b w:val="false"/>
          <w:color w:val="000000"/>
          <w:sz w:val="22"/>
        </w:rPr>
        <w:t>The Borrower will use the proceeds of the Term A Loan and the Revolving Loans funded on the Closing Date to (i) refinance certain Indebtedness of the Borrower and its Subsidiaries (including all Indebtedness under the Existing Credit Agreement), (ii) pay transaction costs and expenses arising in connection with this Agreement and (iii) finance working capital, capital expenditures and other general corporate purposes.</w:t>
      </w:r>
    </w:p>
    <w:p>
      <w:pPr>
        <w:pStyle w:val="TextBody"/>
        <w:bidi w:val="0"/>
        <w:spacing w:lineRule="auto" w:line="240" w:before="0" w:after="240"/>
        <w:ind w:left="0" w:right="0" w:firstLine="1440"/>
        <w:jc w:val="both"/>
        <w:rPr/>
      </w:pPr>
      <w:bookmarkStart w:id="357" w:name="i8a6328d04a41443491214fe8f8a9106b"/>
      <w:bookmarkEnd w:id="357"/>
      <w:r>
        <w:rPr>
          <w:rFonts w:ascii="Times New Roman;serif" w:hAnsi="Times New Roman;serif"/>
          <w:b w:val="false"/>
          <w:color w:val="000000"/>
          <w:sz w:val="22"/>
        </w:rPr>
        <w:t>(b)</w:t>
      </w:r>
      <w:r>
        <w:rPr>
          <w:rFonts w:ascii="Times New Roman;serif" w:hAnsi="Times New Roman;serif"/>
          <w:b w:val="false"/>
          <w:color w:val="000000"/>
          <w:sz w:val="22"/>
        </w:rPr>
        <w:t xml:space="preserve">The Borrower will use the proceeds of the Revolving Loans funded after the Closing Date to (i) finance future Permitted Acquisitions and Investments (in each case, solely to the extent permitted hereunder) and to pay related transaction fees and expenses and (ii) provide for working capital needs, capital expenditures, and for other general corporate purposes or any other purpose permitted under this Agreement. </w:t>
      </w:r>
    </w:p>
    <w:p>
      <w:pPr>
        <w:pStyle w:val="TextBody"/>
        <w:bidi w:val="0"/>
        <w:spacing w:lineRule="auto" w:line="240" w:before="0" w:after="240"/>
        <w:ind w:left="0" w:right="0" w:firstLine="1440"/>
        <w:jc w:val="both"/>
        <w:rPr/>
      </w:pPr>
      <w:bookmarkStart w:id="358" w:name="i266cea07269b478aadaaa94538f95430"/>
      <w:bookmarkEnd w:id="358"/>
      <w:r>
        <w:rPr>
          <w:rFonts w:ascii="Times New Roman;serif" w:hAnsi="Times New Roman;serif"/>
          <w:b w:val="false"/>
          <w:color w:val="000000"/>
          <w:sz w:val="22"/>
        </w:rPr>
        <w:t>(c)</w:t>
      </w:r>
      <w:r>
        <w:rPr>
          <w:rFonts w:ascii="Times New Roman;serif" w:hAnsi="Times New Roman;serif"/>
          <w:b w:val="false"/>
          <w:color w:val="000000"/>
          <w:sz w:val="22"/>
        </w:rPr>
        <w:t>The Borrower will use the proceeds of the Delayed Draw Term Loans funded after the Closing Date to (i) finance Permitted Acquisitions and other similar permitted Investments (for the avoidance of doubt including, but not limited to, purchase price adjustments, working capital adjustments or other deferred or contingent purchase price consideration (including earn-out obligations)) and to pay related transaction fees and expenses, (ii) replenish balance sheet cash or repay any Revolving Loans previously used to finance any of the foregoing uses described in clause (i) to the extent so utilized within the preceding 90 days and (iii) to finance permitted repayments and prepayments of the 2029 Convertible Notes.</w:t>
      </w:r>
    </w:p>
    <w:p>
      <w:pPr>
        <w:pStyle w:val="TextBody"/>
        <w:bidi w:val="0"/>
        <w:spacing w:lineRule="auto" w:line="240" w:before="0" w:after="240"/>
        <w:ind w:left="0" w:right="0" w:firstLine="1440"/>
        <w:jc w:val="both"/>
        <w:rPr/>
      </w:pPr>
      <w:bookmarkStart w:id="359" w:name="i946c93586cbb4f8c8aad603af9bc731a"/>
      <w:bookmarkEnd w:id="359"/>
      <w:r>
        <w:rPr>
          <w:rFonts w:ascii="Times New Roman;serif" w:hAnsi="Times New Roman;serif"/>
          <w:b w:val="false"/>
          <w:color w:val="000000"/>
          <w:sz w:val="22"/>
        </w:rPr>
        <w:t>(d)</w:t>
      </w:r>
      <w:r>
        <w:rPr>
          <w:rFonts w:ascii="Times New Roman;serif" w:hAnsi="Times New Roman;serif"/>
          <w:b w:val="false"/>
          <w:color w:val="000000"/>
          <w:sz w:val="22"/>
        </w:rPr>
        <w:t>All Letters of Credit will be used for general corporate purposes.</w:t>
      </w:r>
    </w:p>
    <w:p>
      <w:pPr>
        <w:pStyle w:val="TextBody"/>
        <w:bidi w:val="0"/>
        <w:spacing w:lineRule="auto" w:line="240" w:before="0" w:after="240"/>
        <w:ind w:left="0" w:right="0" w:firstLine="1440"/>
        <w:jc w:val="both"/>
        <w:rPr/>
      </w:pPr>
      <w:bookmarkStart w:id="360" w:name="ief5f3ff0cc4f4af1a2120656171b0d13"/>
      <w:bookmarkEnd w:id="360"/>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contained herein, no part of the proceeds of any Loan will be used, whether directly or indirectly, for any purpose that would violate any rule or regulation of the Board of Governors of the Federal Reserve System, including Regulation T, Regulation U or Regulation X. </w:t>
      </w:r>
    </w:p>
    <w:p>
      <w:pPr>
        <w:pStyle w:val="TextBody"/>
        <w:bidi w:val="0"/>
        <w:spacing w:lineRule="auto" w:line="240" w:before="0" w:after="0"/>
        <w:ind w:left="0" w:right="0" w:firstLine="720"/>
        <w:jc w:val="both"/>
        <w:rPr/>
      </w:pPr>
      <w:bookmarkStart w:id="361" w:name="i9070bcc6aa814395b837e5b0b749bb84"/>
      <w:bookmarkEnd w:id="361"/>
      <w:r>
        <w:rPr>
          <w:rFonts w:ascii="Times New Roman;serif" w:hAnsi="Times New Roman;serif"/>
          <w:b/>
          <w:color w:val="000000"/>
          <w:sz w:val="22"/>
        </w:rPr>
        <w:t>Section 5.10</w:t>
      </w:r>
      <w:r>
        <w:rPr>
          <w:rFonts w:ascii="Times New Roman;serif" w:hAnsi="Times New Roman;serif"/>
          <w:b/>
          <w:color w:val="000000"/>
          <w:sz w:val="22"/>
          <w:u w:val="single"/>
        </w:rPr>
        <w:t>Casualty and Condemnation</w:t>
      </w:r>
      <w:r>
        <w:rPr>
          <w:rFonts w:ascii="Times New Roman;serif" w:hAnsi="Times New Roman;serif"/>
          <w:b w:val="false"/>
          <w:color w:val="000000"/>
          <w:sz w:val="22"/>
        </w:rPr>
        <w:t>. The Borrower (a) will furnish to the Administrative Agent and the Lenders prompt written notice of any casualty or other insured damage in excess of $10,000,000 to any material portion of any Collateral or the commencement of any action or proceeding for the taking of any material portion of any Collateral or any part thereof or interest therein under power of eminent domain or by condemnation or similar proceeding and (b) will ensure that the Net Cash Proceeds of any such event (whether in the form of insurance proceeds, condemnation awards or otherwise) are collected and applied in accordance with the applicable provisions of this Agreement and the Collateral Documents.</w:t>
      </w:r>
    </w:p>
    <w:p>
      <w:pPr>
        <w:pStyle w:val="TextBody"/>
        <w:bidi w:val="0"/>
        <w:spacing w:lineRule="auto" w:line="240" w:before="0" w:after="0"/>
        <w:ind w:left="0" w:right="0" w:firstLine="720"/>
        <w:jc w:val="both"/>
        <w:rPr/>
      </w:pPr>
      <w:bookmarkStart w:id="362" w:name="i0943be24461e46cc8eb152b550bc769c"/>
      <w:bookmarkEnd w:id="362"/>
      <w:r>
        <w:rPr>
          <w:rFonts w:ascii="Times New Roman;serif" w:hAnsi="Times New Roman;serif"/>
          <w:b/>
          <w:color w:val="000000"/>
          <w:sz w:val="22"/>
        </w:rPr>
        <w:t>Section 5.11</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bookmarkStart w:id="363" w:name="id717eb95605a4292b404942a961bb26c"/>
      <w:bookmarkEnd w:id="363"/>
      <w:r>
        <w:rPr>
          <w:rFonts w:ascii="Times New Roman;serif" w:hAnsi="Times New Roman;serif"/>
          <w:b/>
          <w:color w:val="000000"/>
          <w:sz w:val="22"/>
        </w:rPr>
        <w:t>Section 5.12</w:t>
      </w:r>
      <w:r>
        <w:rPr>
          <w:rFonts w:ascii="Times New Roman;serif" w:hAnsi="Times New Roman;serif"/>
          <w:b/>
          <w:color w:val="000000"/>
          <w:sz w:val="22"/>
          <w:u w:val="single"/>
        </w:rPr>
        <w:t>Additional Subsidiaries and Collateral.</w:t>
      </w:r>
    </w:p>
    <w:p>
      <w:pPr>
        <w:pStyle w:val="TextBody"/>
        <w:bidi w:val="0"/>
        <w:spacing w:lineRule="auto" w:line="240" w:before="0" w:after="240"/>
        <w:ind w:left="0" w:right="0" w:firstLine="1440"/>
        <w:jc w:val="both"/>
        <w:rPr/>
      </w:pPr>
      <w:bookmarkStart w:id="364" w:name="i35a30b92adc249dabd66070cf22f4dc5"/>
      <w:bookmarkEnd w:id="364"/>
      <w:r>
        <w:rPr>
          <w:rFonts w:ascii="Times New Roman;serif" w:hAnsi="Times New Roman;serif"/>
          <w:b w:val="false"/>
          <w:color w:val="000000"/>
          <w:sz w:val="22"/>
        </w:rPr>
        <w:t>(a)</w:t>
      </w:r>
      <w:r>
        <w:rPr>
          <w:rFonts w:ascii="Times New Roman;serif" w:hAnsi="Times New Roman;serif"/>
          <w:b w:val="false"/>
          <w:color w:val="000000"/>
          <w:sz w:val="22"/>
        </w:rPr>
        <w:t xml:space="preserve">In the event that, subsequent to the Closing Date, any Person becomes a Subsidiary (other than an Excluded Subsidiary), whether pursuant to formation, Acquisition or otherwise, the Borrower shall (i) promptly notify the Administrative Agent and the Lenders thereof, (ii) (x) if such Person is a Domestic Subsidiary, within 30 days after such Person becomes a Subsidiary and (y) if such Person is a Foreign Subsidiary, within 60 days after such Person becomes a Subsidiary (or, in each case of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(y)</w:t>
      </w:r>
      <w:r>
        <w:rPr>
          <w:rFonts w:ascii="Times New Roman;serif" w:hAnsi="Times New Roman;serif"/>
          <w:b w:val="false"/>
          <w:color w:val="000000"/>
          <w:sz w:val="22"/>
        </w:rPr>
        <w:t>, such longer period as may be agreed to by the Administrative Agent in its reasonable discretion), cause such Subsidiary to become a new Guarantor and to grant Liens in favor of the Administrative Agent in all of its personal property (to the extent required by the Collateral Documents) by executing and delivering to the Administrative Agent a supplement to the Guaranty and Security Agreement, executing and delivering a Copyright Security Agreement, Patent Security Agreement and Trademark Security Agreement, as applicable, and authorizing and delivering, at the request of the Administrative Agent, such UCC financing statements or similar instruments required by the Administrative Agent to perfect the Liens in favor of the Administrative Agent and granted under any of the Loan Documents, (iii) cause such Subsidiary to grant Liens in favor of the Administrative Agent in all fee ownership interests in all Material Real Estate</w:t>
      </w:r>
      <w:r>
        <w:rPr>
          <w:color w:val="000000"/>
        </w:rPr>
        <w:t xml:space="preserve"> </w:t>
      </w:r>
      <w:r>
        <w:rPr>
          <w:rFonts w:ascii="Times New Roman;serif" w:hAnsi="Times New Roman;serif"/>
          <w:b w:val="false"/>
          <w:color w:val="000000"/>
          <w:sz w:val="22"/>
        </w:rPr>
        <w:t xml:space="preserve">by executing and delivering to the Administrative Agent such Real Estate Documents as required under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 xml:space="preserve">(within the time period set forth therein) and (iv) cause such Subsidiary to deliver all such other documentation (including certified organizational documents, resolutions, lien searches and legal opinions) and to take all such other actions as such Subsidiary would have been required to deliver and take pursuant to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 xml:space="preserve">if such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036955"/>
                <wp:effectExtent l="0" t="0" r="0" b="0"/>
                <wp:wrapNone/>
                <wp:docPr id="233" name="Frame23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Subsidiary had been a Loan Party on the Closing Date or that such Subsidiary would be required to deliver pursuant to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 xml:space="preserve">(within the time period set forth therein) with respect to any Material Real Estate. In addition, no later than 15 days after expiration of the applicable grace period set forth in </w:t>
      </w:r>
      <w:r>
        <w:rPr>
          <w:rFonts w:ascii="Times New Roman;serif" w:hAnsi="Times New Roman;serif"/>
          <w:b w:val="false"/>
          <w:color w:val="000000"/>
          <w:sz w:val="22"/>
          <w:u w:val="single"/>
        </w:rPr>
        <w:t>clause (a)(ii)</w:t>
      </w:r>
      <w:r>
        <w:rPr>
          <w:color w:val="000000"/>
        </w:rPr>
        <w:t xml:space="preserve"> </w:t>
      </w:r>
      <w:r>
        <w:rPr>
          <w:rFonts w:ascii="Times New Roman;serif" w:hAnsi="Times New Roman;serif"/>
          <w:b w:val="false"/>
          <w:color w:val="000000"/>
          <w:sz w:val="22"/>
        </w:rPr>
        <w:t xml:space="preserve">of this Section (or such longer period as may be agreed to by the Administrative Agent in its reasonable discretion), the Borrower shall, or shall cause the applicable Loan Party to (A) to the extent required by the Guaranty and Security Agreement, pledge all of the Capital Stock of such Subsidiary to the Administrative Agent as security for the Obligations by executing and delivering a supplement to the Guaranty and Security Agreement in form and substance reasonably satisfactory to the Administrative Agent, and (B) solely with respect to Capital Stock in certificated form, deliver the original certificates evidencing such pledged Capital Stock to the Administrative Agent, together with appropriate powers executed in blank. Notwithstanding anything to the contrary in this Agreement or any other Loan Document, Borrower shall not be required to pledge any voting Capital Stock in excess of 65% of the issued and outstanding Capital Stock of any Excluded Subsidiary (solely to the extent such Subsidiary is excluded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“Excluded Subsidiary”) that is a CFC or a Disregarded Domestic Subsidiary. </w:t>
      </w:r>
    </w:p>
    <w:p>
      <w:pPr>
        <w:pStyle w:val="TextBody"/>
        <w:bidi w:val="0"/>
        <w:spacing w:lineRule="auto" w:line="240" w:before="0" w:after="240"/>
        <w:ind w:left="0" w:right="0" w:firstLine="1440"/>
        <w:jc w:val="both"/>
        <w:rPr/>
      </w:pPr>
      <w:bookmarkStart w:id="365" w:name="i2e3130570b3a4de4b731bf7686be9193"/>
      <w:bookmarkEnd w:id="365"/>
      <w:r>
        <w:rPr>
          <w:rFonts w:ascii="Times New Roman;serif" w:hAnsi="Times New Roman;serif"/>
          <w:b w:val="false"/>
          <w:color w:val="000000"/>
          <w:sz w:val="22"/>
        </w:rPr>
        <w:t>(b)</w:t>
      </w:r>
      <w:r>
        <w:rPr>
          <w:rFonts w:ascii="Times New Roman;serif" w:hAnsi="Times New Roman;serif"/>
          <w:b w:val="false"/>
          <w:color w:val="000000"/>
          <w:sz w:val="22"/>
        </w:rPr>
        <w:t xml:space="preserve">If, at any time and from time to time after the Closing Date, Subsidiaries that are not Guarantors solely because they do not meet the thresholds set forth in the definition of “Immaterial Subsidiary” comprise in the aggregate more than 10.0% of Consolidated Total Assets or more than 10.0% of consolidated revenue of the Borrower and its Subsidiaries, in each case, as of the end of the most recently ended Fiscal Quarter for which financial statements have been delivered (or were required to be delivered) pursuant to </w:t>
      </w:r>
      <w:r>
        <w:rPr>
          <w:rFonts w:ascii="Times New Roman;serif" w:hAnsi="Times New Roman;serif"/>
          <w:b w:val="false"/>
          <w:color w:val="000000"/>
          <w:sz w:val="22"/>
          <w:u w:val="single"/>
        </w:rPr>
        <w:t>Section 5.1(b)</w:t>
      </w:r>
      <w:r>
        <w:rPr>
          <w:rFonts w:ascii="Times New Roman;serif" w:hAnsi="Times New Roman;serif"/>
          <w:b w:val="false"/>
          <w:color w:val="000000"/>
          <w:sz w:val="22"/>
        </w:rPr>
        <w:t xml:space="preserve">, then the Borrower shall, (i) not later than five (5) Business Days after the date by which financial statements for such Fiscal Quarter are required to be delivered pursuant to this Agreement (or such longer period as the Administrative Agent may agree in its reasonable discretion), designate in writing to the Administrative Agent one or more of such Subsidiaries as no longer being an “Immaterial Subsidiary” (to the extent that, as a result of such designation, the remaining Immaterial Subsidiaries constitute less than each of the thresholds set forth in this subsection (d) in the aggregate) and (ii) comply with the provisions of subsection (a) of this Section applicable to each such Subsidiary (subject to the time periods set forth in this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which shall run from the date that any Subsidiary is so designated as no longer being an Immaterial Subsidiary hereunder).</w:t>
      </w:r>
    </w:p>
    <w:p>
      <w:pPr>
        <w:pStyle w:val="TextBody"/>
        <w:bidi w:val="0"/>
        <w:spacing w:lineRule="auto" w:line="240" w:before="0" w:after="240"/>
        <w:ind w:left="0" w:right="0" w:firstLine="1440"/>
        <w:jc w:val="both"/>
        <w:rPr/>
      </w:pPr>
      <w:bookmarkStart w:id="366" w:name="i09fd9d35ca3944bfb8c50bada6f2715e"/>
      <w:bookmarkEnd w:id="366"/>
      <w:r>
        <w:rPr>
          <w:rFonts w:ascii="Times New Roman;serif" w:hAnsi="Times New Roman;serif"/>
          <w:b w:val="false"/>
          <w:color w:val="000000"/>
          <w:sz w:val="22"/>
        </w:rPr>
        <w:t>(c)</w:t>
      </w:r>
      <w:r>
        <w:rPr>
          <w:rFonts w:ascii="Times New Roman;serif" w:hAnsi="Times New Roman;serif"/>
          <w:b w:val="false"/>
          <w:color w:val="000000"/>
          <w:sz w:val="22"/>
        </w:rPr>
        <w:t xml:space="preserve">The Borrower agrees that, following the delivery of any Collateral Documents required to be executed and delivered by this Section, the Administrative Agent shall have a valid and enforceable, first priority (subject to Liens expressly permitted by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perfected Lien on the property required to be pledged pursuant to subsections (a) and (b) of this Section (to the extent that such Lien can be perfected by execution, delivery and/or recording of the Collateral Documents or UCC financing statements, or possession of such Collateral), free and clear of all Liens other than Liens expressly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 All actions to be taken pursuant to this Section shall be at the expense of the Borrower or the applicable Loan Party.</w:t>
      </w:r>
    </w:p>
    <w:p>
      <w:pPr>
        <w:pStyle w:val="TextBody"/>
        <w:bidi w:val="0"/>
        <w:spacing w:lineRule="auto" w:line="240" w:before="0" w:after="0"/>
        <w:ind w:left="0" w:right="0" w:firstLine="720"/>
        <w:jc w:val="both"/>
        <w:rPr/>
      </w:pPr>
      <w:bookmarkStart w:id="367" w:name="i94c5013661e0409eae74c4e8e76b091a"/>
      <w:bookmarkEnd w:id="367"/>
      <w:r>
        <w:rPr>
          <w:rFonts w:ascii="Times New Roman;serif" w:hAnsi="Times New Roman;serif"/>
          <w:b/>
          <w:color w:val="000000"/>
          <w:sz w:val="22"/>
        </w:rPr>
        <w:t>Section 5.13</w:t>
      </w:r>
      <w:r>
        <w:rPr>
          <w:rFonts w:ascii="Times New Roman;serif" w:hAnsi="Times New Roman;serif"/>
          <w:b/>
          <w:color w:val="000000"/>
          <w:sz w:val="22"/>
          <w:u w:val="single"/>
        </w:rPr>
        <w:t>Additional Real Estate</w:t>
      </w:r>
      <w:r>
        <w:rPr>
          <w:rFonts w:ascii="Times New Roman;serif" w:hAnsi="Times New Roman;serif"/>
          <w:b w:val="false"/>
          <w:color w:val="000000"/>
          <w:sz w:val="22"/>
        </w:rPr>
        <w:t>. If any Loan Party acquires any Material</w:t>
      </w:r>
      <w:r>
        <w:rPr>
          <w:color w:val="000000"/>
        </w:rPr>
        <w:t xml:space="preserve"> </w:t>
      </w:r>
      <w:r>
        <w:rPr>
          <w:rFonts w:ascii="Times New Roman;serif" w:hAnsi="Times New Roman;serif"/>
          <w:b w:val="false"/>
          <w:color w:val="000000"/>
          <w:sz w:val="22"/>
        </w:rPr>
        <w:t xml:space="preserve">Real Estate after the Closing Date, it shall deliver (i) to the Administrative Agent (for distribution to each Lender), at least 25 Business Days (or such shorter period as may be agreed to by the Administrative Agent in its reasonable discretion) in advance of signing of any Mortgage with respect to such Material Real Estate, the Real Estate Documents described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thereof and (ii) to the Administrative Agent, within 90 days (or such longer period as may be agreed to by the Administrative Agent in its reasonable discretion) after the acquisition thereof, all other Real Estate Documents with respect to such Material Real Estate. Notwithstanding the foregoing, the Administrative Agent shall not enter into, accept or record any Mortgage in respect to such Material Real Estate until the Administrative Agent shall have received written confirmation from each Lender that flood insurance compliance has been completed by such Lender with respect to such Material Real Estate (such written confirmation not to be unreasonably withheld or delayed). </w:t>
      </w:r>
    </w:p>
    <w:p>
      <w:pPr>
        <w:pStyle w:val="TextBody"/>
        <w:bidi w:val="0"/>
        <w:spacing w:lineRule="auto" w:line="240"/>
        <w:ind w:left="0" w:right="0" w:firstLine="720"/>
        <w:jc w:val="both"/>
        <w:rPr/>
      </w:pPr>
      <w:bookmarkStart w:id="368" w:name="i2498a32e3b1944ae9cd10b2c2936da3f"/>
      <w:bookmarkEnd w:id="368"/>
      <w:r>
        <w:rPr>
          <w:rFonts w:ascii="Times New Roman;serif" w:hAnsi="Times New Roman;serif"/>
          <w:b/>
          <w:color w:val="000000"/>
          <w:sz w:val="22"/>
        </w:rPr>
        <w:t>Section 5.14</w:t>
      </w:r>
      <w:r>
        <w:rPr>
          <w:rFonts w:ascii="Times New Roman;serif" w:hAnsi="Times New Roman;serif"/>
          <w:b/>
          <w:color w:val="000000"/>
          <w:sz w:val="22"/>
          <w:u w:val="single"/>
        </w:rPr>
        <w:t>Further Assurances</w:t>
      </w:r>
      <w:r>
        <w:rPr>
          <w:rFonts w:ascii="Times New Roman;serif" w:hAnsi="Times New Roman;serif"/>
          <w:b w:val="false"/>
          <w:color w:val="000000"/>
          <w:sz w:val="22"/>
        </w:rPr>
        <w:t xml:space="preserve">. The Borrower will, and will cause each other Loan Party to, execute any and all further documents, financing statements, agreements and instruments, and take all such further actions (including the filing and recording of financing statements, fixture filings, Mortgages 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036955"/>
                <wp:effectExtent l="0" t="0" r="0" b="0"/>
                <wp:wrapNone/>
                <wp:docPr id="234" name="Frame23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 validity or priority of any such Lien, all at the expense of the Loan Parties. The Borrower also agrees to provide to the Administrative Agent, from time to time upon reasonable request, evidence reasonably satisfactory to the Administrative Agent as to the perfection and priority of the Liens created or intended to be created by the Collateral Documents.</w:t>
      </w:r>
    </w:p>
    <w:p>
      <w:pPr>
        <w:pStyle w:val="TextBody"/>
        <w:bidi w:val="0"/>
        <w:spacing w:lineRule="auto" w:line="240" w:before="0" w:after="0"/>
        <w:ind w:left="0" w:right="0" w:firstLine="720"/>
        <w:jc w:val="both"/>
        <w:rPr/>
      </w:pPr>
      <w:bookmarkStart w:id="369" w:name="i64d8c418758349019d28228b8fb59e8d"/>
      <w:bookmarkEnd w:id="369"/>
      <w:r>
        <w:rPr>
          <w:rFonts w:ascii="Times New Roman;serif" w:hAnsi="Times New Roman;serif"/>
          <w:b/>
          <w:color w:val="000000"/>
          <w:sz w:val="22"/>
        </w:rPr>
        <w:t>Section 5.15</w:t>
      </w:r>
      <w:r>
        <w:rPr>
          <w:rFonts w:ascii="Times New Roman;serif" w:hAnsi="Times New Roman;serif"/>
          <w:b/>
          <w:color w:val="000000"/>
          <w:sz w:val="22"/>
          <w:u w:val="single"/>
        </w:rPr>
        <w:t>Healthcare Matters</w:t>
      </w:r>
      <w:r>
        <w:rPr>
          <w:rFonts w:ascii="Times New Roman;serif" w:hAnsi="Times New Roman;serif"/>
          <w:b w:val="false"/>
          <w:color w:val="000000"/>
          <w:sz w:val="22"/>
        </w:rPr>
        <w:t>. The Borrower will, and will cause each of its Subsidiaries to, (i) comply in all material respects with all applicable Healthcare Laws relating to the operation of its business, (ii) obtain, maintain and timely renew all material Healthcare Permits required in the proper conduct of its business, (iii) keep and maintain all records required to be maintained by any Governmental Authority or under any Healthcare Law and (iv) maintain a corporate and health care regulatory compliance program that addresses the requirements of Healthcare Laws, in each case of the foregoing clauses (i) through (iv), except where the failure to comply, obtain, keep and maintain would not reasonably be expected to have, either individually or in the aggregate, a Material Adverse Effect.</w:t>
      </w:r>
    </w:p>
    <w:p>
      <w:pPr>
        <w:pStyle w:val="TextBody"/>
        <w:bidi w:val="0"/>
        <w:spacing w:lineRule="auto" w:line="240" w:before="0" w:after="0"/>
        <w:ind w:left="0" w:right="0" w:firstLine="720"/>
        <w:jc w:val="both"/>
        <w:rPr/>
      </w:pPr>
      <w:bookmarkStart w:id="370" w:name="i12569b90d0894560a5eaada346e2b64b"/>
      <w:bookmarkEnd w:id="370"/>
      <w:r>
        <w:rPr>
          <w:rFonts w:ascii="Times New Roman;serif" w:hAnsi="Times New Roman;serif"/>
          <w:b/>
          <w:color w:val="000000"/>
          <w:sz w:val="22"/>
        </w:rPr>
        <w:t>Section 5.16</w:t>
      </w:r>
      <w:r>
        <w:rPr>
          <w:rFonts w:ascii="Times New Roman;serif" w:hAnsi="Times New Roman;serif"/>
          <w:b/>
          <w:color w:val="000000"/>
          <w:sz w:val="22"/>
          <w:u w:val="single"/>
        </w:rPr>
        <w:t>Intellectual Property</w:t>
      </w:r>
      <w:r>
        <w:rPr>
          <w:rFonts w:ascii="Times New Roman;serif" w:hAnsi="Times New Roman;serif"/>
          <w:b w:val="false"/>
          <w:color w:val="000000"/>
          <w:sz w:val="22"/>
        </w:rPr>
        <w:t xml:space="preserve">. The Borrower will, and will cause each of its Subsidiaries to, do or cause to be done all things necessary to preserve, renew and keep in full force and effect its intellectual property rights material to the conduct of the business of the Borrower and its Subsidiaries, taken as a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foregoing shall not prohibit any Disposition permitted under </w:t>
      </w:r>
      <w:r>
        <w:rPr>
          <w:rFonts w:ascii="Times New Roman;serif" w:hAnsi="Times New Roman;serif"/>
          <w:b w:val="false"/>
          <w:color w:val="000000"/>
          <w:sz w:val="22"/>
          <w:u w:val="single"/>
        </w:rPr>
        <w:t>Section 7.6</w:t>
      </w:r>
      <w:r>
        <w:rPr>
          <w:color w:val="000000"/>
        </w:rPr>
        <w:t xml:space="preserve"> </w:t>
      </w:r>
      <w:r>
        <w:rPr>
          <w:rFonts w:ascii="Times New Roman;serif" w:hAnsi="Times New Roman;serif"/>
          <w:b w:val="false"/>
          <w:color w:val="000000"/>
          <w:sz w:val="22"/>
        </w:rPr>
        <w:t>and (ii) neither the Borrower nor any of its Subsidiaries shall be required to preserve any right, license, permit, privilege, franchise, patent, copyright, trademark, trade name or other intellectual property rights which in the reasonable good faith determination of the Borrower are not material to the conduct of the business of the Borrower and its Subsidiaries, taken as a whole.</w:t>
      </w:r>
    </w:p>
    <w:p>
      <w:pPr>
        <w:pStyle w:val="TextBody"/>
        <w:bidi w:val="0"/>
        <w:spacing w:lineRule="auto" w:line="240" w:before="0" w:after="0"/>
        <w:ind w:left="0" w:right="0" w:firstLine="720"/>
        <w:jc w:val="both"/>
        <w:rPr/>
      </w:pPr>
      <w:bookmarkStart w:id="371" w:name="icc0c182051a9437da89a6482cbb8c864"/>
      <w:bookmarkEnd w:id="371"/>
      <w:r>
        <w:rPr>
          <w:rFonts w:ascii="Times New Roman;serif" w:hAnsi="Times New Roman;serif"/>
          <w:b/>
          <w:color w:val="000000"/>
          <w:sz w:val="22"/>
        </w:rPr>
        <w:t>Section 5.17</w:t>
      </w:r>
      <w:r>
        <w:rPr>
          <w:rFonts w:ascii="Times New Roman;serif" w:hAnsi="Times New Roman;serif"/>
          <w:b/>
          <w:color w:val="000000"/>
          <w:sz w:val="22"/>
          <w:u w:val="single"/>
        </w:rPr>
        <w:t>Post-Closing Obligations</w:t>
      </w:r>
      <w:r>
        <w:rPr>
          <w:rFonts w:ascii="Times New Roman;serif" w:hAnsi="Times New Roman;serif"/>
          <w:b w:val="false"/>
          <w:color w:val="000000"/>
          <w:sz w:val="22"/>
        </w:rPr>
        <w:t>. The Borrower shall satisfy the requirements</w:t>
      </w:r>
      <w:r>
        <w:rPr>
          <w:color w:val="000000"/>
        </w:rPr>
        <w:t xml:space="preserve"> </w:t>
      </w: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and deliver to the Administrative Agent satisfactory evidence of the same, on or before the date specified for such requirement (or such later date as may be agreed in writing to by the Administrative Agent in its sole discretion).</w:t>
      </w:r>
    </w:p>
    <w:p>
      <w:pPr>
        <w:pStyle w:val="TextBody"/>
        <w:bidi w:val="0"/>
        <w:spacing w:lineRule="auto" w:line="240" w:before="0" w:after="240"/>
        <w:jc w:val="center"/>
        <w:rPr/>
      </w:pPr>
      <w:bookmarkStart w:id="372" w:name="i7a1bcc78199440639fe046fe66e3c6ef"/>
      <w:bookmarkEnd w:id="372"/>
      <w:r>
        <w:rPr>
          <w:rFonts w:ascii="Times New Roman;serif" w:hAnsi="Times New Roman;serif"/>
          <w:b/>
          <w:color w:val="000000"/>
          <w:sz w:val="22"/>
        </w:rPr>
        <w:t>Article VI</w:t>
      </w:r>
      <w:r>
        <w:rPr>
          <w:rFonts w:ascii="Times New Roman;serif" w:hAnsi="Times New Roman;serif"/>
          <w:b/>
          <w:color w:val="000000"/>
          <w:sz w:val="22"/>
          <w:u w:val="single"/>
        </w:rPr>
        <w:br/>
        <w:br/>
        <w:t>FINANCIAL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Payment in Full of the Obligations, the Borrower covenants and agrees with the Lenders that:</w:t>
      </w:r>
    </w:p>
    <w:p>
      <w:pPr>
        <w:pStyle w:val="TextBody"/>
        <w:bidi w:val="0"/>
        <w:spacing w:lineRule="auto" w:line="240" w:before="0" w:after="0"/>
        <w:ind w:left="0" w:right="0" w:firstLine="720"/>
        <w:jc w:val="both"/>
        <w:rPr/>
      </w:pPr>
      <w:bookmarkStart w:id="373" w:name="ie5b9fa153a0a424e8ccfc374234d5c26"/>
      <w:bookmarkEnd w:id="373"/>
      <w:r>
        <w:rPr>
          <w:rFonts w:ascii="Times New Roman;serif" w:hAnsi="Times New Roman;serif"/>
          <w:b/>
          <w:color w:val="000000"/>
          <w:sz w:val="22"/>
        </w:rPr>
        <w:t>Section 6.1</w:t>
      </w:r>
      <w:r>
        <w:rPr>
          <w:rFonts w:ascii="Times New Roman;serif" w:hAnsi="Times New Roman;serif"/>
          <w:b/>
          <w:color w:val="000000"/>
          <w:sz w:val="22"/>
          <w:u w:val="single"/>
        </w:rPr>
        <w:t>Consolidated First Lien Net Leverage Ratio</w:t>
      </w:r>
      <w:r>
        <w:rPr>
          <w:rFonts w:ascii="Times New Roman;serif" w:hAnsi="Times New Roman;serif"/>
          <w:b w:val="false"/>
          <w:color w:val="000000"/>
          <w:sz w:val="22"/>
        </w:rPr>
        <w:t xml:space="preserve">. The Borrower will maintain, as of the end of each Fiscal Quarter, commencing with the Fiscal Quarter ending on March 31, 2026, a Consolidated First Lien Net Leverage Ratio of not greater than 2.75:1.00;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four (4) consecutive Fiscal Quarters ending after the Borrower has consummated a Permitted Acquisition for which the aggregate acquisition consideration is greater than or equal to $200,000,000 (it being understood and agreed that the first Fiscal Quarter of such four (4) consecutive Fiscal Quarter period shall be the Fiscal Quarter in which such Permitted Acquisition occurs, which shall be referred to as the “</w:t>
      </w:r>
      <w:r>
        <w:rPr>
          <w:rFonts w:ascii="Times New Roman;serif" w:hAnsi="Times New Roman;serif"/>
          <w:b w:val="false"/>
          <w:color w:val="000000"/>
          <w:sz w:val="22"/>
          <w:u w:val="single"/>
        </w:rPr>
        <w:t>Trigger Quarter</w:t>
      </w:r>
      <w:r>
        <w:rPr>
          <w:color w:val="000000"/>
        </w:rPr>
        <w:t>”</w:t>
      </w:r>
      <w:r>
        <w:rPr>
          <w:rFonts w:ascii="Times New Roman;serif" w:hAnsi="Times New Roman;serif"/>
          <w:b w:val="false"/>
          <w:color w:val="000000"/>
          <w:sz w:val="22"/>
        </w:rPr>
        <w:t>), the First Lien Net Leverage Ratio shall be increased to 3.25:1.00 (such increase, a “</w:t>
      </w:r>
      <w:r>
        <w:rPr>
          <w:rFonts w:ascii="Times New Roman;serif" w:hAnsi="Times New Roman;serif"/>
          <w:b w:val="false"/>
          <w:color w:val="000000"/>
          <w:sz w:val="22"/>
          <w:u w:val="single"/>
        </w:rPr>
        <w:t>PA Covenant Holiday</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First Lien Net Leverage Ratio shall revert to 2.75:1.00 no later than the end of the fourth Fiscal Quarter after such Trigger Quarter;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following the occurrence of a Trigger Quarter (any such Trigger Quarter, an “</w:t>
      </w:r>
      <w:r>
        <w:rPr>
          <w:rFonts w:ascii="Times New Roman;serif" w:hAnsi="Times New Roman;serif"/>
          <w:b w:val="false"/>
          <w:color w:val="000000"/>
          <w:sz w:val="22"/>
          <w:u w:val="single"/>
        </w:rPr>
        <w:t>Initial Trigger Quarter</w:t>
      </w:r>
      <w:r>
        <w:rPr>
          <w:color w:val="000000"/>
        </w:rPr>
        <w:t>”</w:t>
      </w:r>
      <w:r>
        <w:rPr>
          <w:rFonts w:ascii="Times New Roman;serif" w:hAnsi="Times New Roman;serif"/>
          <w:b w:val="false"/>
          <w:color w:val="000000"/>
          <w:sz w:val="22"/>
        </w:rPr>
        <w:t xml:space="preserve">), no subsequent Trigger Quarter shall be permitted to occur for purposes of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unless and until the First Lien Net Leverage Ratio is equal to or less than 2.75:1.00 without giving effect to any proviso herein as of the end of at least one Fiscal Quarter following such Initial Trigger Quarter. </w:t>
      </w:r>
    </w:p>
    <w:p>
      <w:pPr>
        <w:pStyle w:val="TextBody"/>
        <w:bidi w:val="0"/>
        <w:spacing w:lineRule="auto" w:line="240" w:before="0" w:after="0"/>
        <w:ind w:left="0" w:right="0" w:firstLine="720"/>
        <w:jc w:val="both"/>
        <w:rPr/>
      </w:pPr>
      <w:bookmarkStart w:id="374" w:name="id2e39a67e9014b5ca89d6df2966b779e"/>
      <w:bookmarkEnd w:id="374"/>
      <w:r>
        <w:rPr>
          <w:rFonts w:ascii="Times New Roman;serif" w:hAnsi="Times New Roman;serif"/>
          <w:b/>
          <w:color w:val="000000"/>
          <w:sz w:val="22"/>
        </w:rPr>
        <w:t>Section 6.2</w:t>
      </w:r>
      <w:r>
        <w:rPr>
          <w:rFonts w:ascii="Times New Roman;serif" w:hAnsi="Times New Roman;serif"/>
          <w:b/>
          <w:color w:val="000000"/>
          <w:sz w:val="22"/>
          <w:u w:val="single"/>
        </w:rPr>
        <w:t>Fixed Charge Coverage Ratio</w:t>
      </w:r>
      <w:r>
        <w:rPr>
          <w:rFonts w:ascii="Times New Roman;serif" w:hAnsi="Times New Roman;serif"/>
          <w:b w:val="false"/>
          <w:color w:val="000000"/>
          <w:sz w:val="22"/>
        </w:rPr>
        <w:t>. The Borrower will maintain, as of the end of each Fiscal Quarter, commencing with the Fiscal Quarter ending on March 31, 2026, a Fixed Charge Coverage Ratio of not less than 1.50:1.00.</w:t>
      </w:r>
    </w:p>
    <w:p>
      <w:pPr>
        <w:pStyle w:val="TextBody"/>
        <w:bidi w:val="0"/>
        <w:spacing w:before="0" w:after="0"/>
        <w:jc w:val="both"/>
        <w:rPr/>
      </w:pPr>
      <w:r>
        <w:rPr/>
      </w:r>
    </w:p>
    <w:p>
      <w:pPr>
        <w:pStyle w:val="TextBody"/>
        <w:bidi w:val="0"/>
        <w:spacing w:lineRule="auto" w:line="240" w:before="0" w:after="240"/>
        <w:jc w:val="center"/>
        <w:rPr/>
      </w:pPr>
      <w:bookmarkStart w:id="375" w:name="ibe8099ab9619450c901071d517c54d72"/>
      <w:bookmarkEnd w:id="375"/>
      <w:r>
        <w:rPr>
          <w:rFonts w:ascii="Times New Roman;serif" w:hAnsi="Times New Roman;serif"/>
          <w:b/>
          <w:color w:val="000000"/>
          <w:sz w:val="22"/>
        </w:rPr>
        <w:t>Article VII</w:t>
      </w:r>
      <w:r>
        <w:rPr>
          <w:rFonts w:ascii="Times New Roman;serif" w:hAnsi="Times New Roman;serif"/>
          <w:b/>
          <w:color w:val="000000"/>
          <w:sz w:val="22"/>
          <w:u w:val="single"/>
        </w:rPr>
        <w:b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Until the Payment in Full of the Obligations, the Borrower covenants and agrees with the Lenders that:</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036955"/>
                <wp:effectExtent l="0" t="0" r="0" b="0"/>
                <wp:wrapNone/>
                <wp:docPr id="235" name="Frame23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40" w:before="0" w:after="0"/>
        <w:ind w:left="0" w:right="0" w:firstLine="720"/>
        <w:jc w:val="both"/>
        <w:rPr/>
      </w:pPr>
      <w:bookmarkStart w:id="376" w:name="i5168988dae524df68bc358ab81464fc2"/>
      <w:bookmarkEnd w:id="376"/>
      <w:r>
        <w:rPr>
          <w:rFonts w:ascii="Times New Roman;serif" w:hAnsi="Times New Roman;serif"/>
          <w:b/>
          <w:color w:val="000000"/>
          <w:sz w:val="22"/>
        </w:rPr>
        <w:t>Section 7.1</w:t>
      </w:r>
      <w:r>
        <w:rPr>
          <w:rFonts w:ascii="Times New Roman;serif" w:hAnsi="Times New Roman;serif"/>
          <w:b/>
          <w:color w:val="000000"/>
          <w:sz w:val="22"/>
          <w:u w:val="single"/>
        </w:rPr>
        <w:t>Indebtedness and Disqualified Stock</w:t>
      </w:r>
      <w:r>
        <w:rPr>
          <w:rFonts w:ascii="Times New Roman;serif" w:hAnsi="Times New Roman;serif"/>
          <w:b w:val="false"/>
          <w:color w:val="000000"/>
          <w:sz w:val="22"/>
        </w:rPr>
        <w:t xml:space="preserve">. The Borrower will not, and will not permit any of its Subsidiaries to, create, incur, assume or suffer to exist any Indebtedness, except: </w:t>
      </w:r>
    </w:p>
    <w:p>
      <w:pPr>
        <w:pStyle w:val="TextBody"/>
        <w:bidi w:val="0"/>
        <w:spacing w:lineRule="auto" w:line="240" w:before="0" w:after="240"/>
        <w:ind w:left="0" w:right="0" w:firstLine="1440"/>
        <w:jc w:val="both"/>
        <w:rPr/>
      </w:pPr>
      <w:bookmarkStart w:id="377" w:name="i78c3e1a92e834a71a61bca299fe28535"/>
      <w:bookmarkEnd w:id="377"/>
      <w:r>
        <w:rPr>
          <w:rFonts w:ascii="Times New Roman;serif" w:hAnsi="Times New Roman;serif"/>
          <w:b w:val="false"/>
          <w:color w:val="000000"/>
          <w:sz w:val="22"/>
        </w:rPr>
        <w:t>(a)</w:t>
      </w:r>
      <w:r>
        <w:rPr>
          <w:rFonts w:ascii="Times New Roman;serif" w:hAnsi="Times New Roman;serif"/>
          <w:b w:val="false"/>
          <w:color w:val="000000"/>
          <w:sz w:val="22"/>
        </w:rPr>
        <w:t>Indebtedness created pursuant to the Loan Documents;</w:t>
      </w:r>
    </w:p>
    <w:p>
      <w:pPr>
        <w:pStyle w:val="TextBody"/>
        <w:bidi w:val="0"/>
        <w:spacing w:lineRule="auto" w:line="240" w:before="0" w:after="240"/>
        <w:ind w:left="0" w:right="0" w:firstLine="1440"/>
        <w:jc w:val="both"/>
        <w:rPr/>
      </w:pPr>
      <w:bookmarkStart w:id="378" w:name="i344cc7b5e98042058dfb23806cc9da77"/>
      <w:bookmarkEnd w:id="378"/>
      <w:r>
        <w:rPr>
          <w:rFonts w:ascii="Times New Roman;serif" w:hAnsi="Times New Roman;serif"/>
          <w:b w:val="false"/>
          <w:color w:val="000000"/>
          <w:sz w:val="22"/>
        </w:rPr>
        <w:t>(b)</w:t>
      </w:r>
      <w:r>
        <w:rPr>
          <w:rFonts w:ascii="Times New Roman;serif" w:hAnsi="Times New Roman;serif"/>
          <w:b w:val="false"/>
          <w:color w:val="000000"/>
          <w:sz w:val="22"/>
        </w:rPr>
        <w:t xml:space="preserve">Indebtedness existing on the Closing Date and set forth on </w:t>
      </w:r>
      <w:r>
        <w:rPr>
          <w:rFonts w:ascii="Times New Roman;serif" w:hAnsi="Times New Roman;serif"/>
          <w:b w:val="false"/>
          <w:color w:val="000000"/>
          <w:sz w:val="22"/>
          <w:u w:val="single"/>
        </w:rPr>
        <w:t>Schedule 7.1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79" w:name="i969c0448ce644ff4961e6f4230aaca61"/>
      <w:bookmarkEnd w:id="379"/>
      <w:r>
        <w:rPr>
          <w:rFonts w:ascii="Times New Roman;serif" w:hAnsi="Times New Roman;serif"/>
          <w:b w:val="false"/>
          <w:color w:val="000000"/>
          <w:sz w:val="22"/>
        </w:rPr>
        <w:t>(c)</w:t>
      </w:r>
      <w:r>
        <w:rPr>
          <w:rFonts w:ascii="Times New Roman;serif" w:hAnsi="Times New Roman;serif"/>
          <w:b w:val="false"/>
          <w:color w:val="000000"/>
          <w:sz w:val="22"/>
        </w:rPr>
        <w:t>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is incurred prior to or within 270 days after such acquisition or the completion of such construction or improvements);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principal amount of all such Indebtedness does not exceed the greater of (x) 12.5% of Consolidated EBITDA for the most recently ended Test Period (calculated on a Pro Forma Basis) and (y) $55,000,000 at any time outstanding;</w:t>
      </w:r>
    </w:p>
    <w:p>
      <w:pPr>
        <w:pStyle w:val="TextBody"/>
        <w:bidi w:val="0"/>
        <w:spacing w:lineRule="auto" w:line="240" w:before="0" w:after="240"/>
        <w:ind w:left="0" w:right="0" w:firstLine="1440"/>
        <w:jc w:val="both"/>
        <w:rPr/>
      </w:pPr>
      <w:bookmarkStart w:id="380" w:name="iefb61fff0c344e8282aa9828653f80ea"/>
      <w:bookmarkEnd w:id="380"/>
      <w:r>
        <w:rPr>
          <w:rFonts w:ascii="Times New Roman;serif" w:hAnsi="Times New Roman;serif"/>
          <w:b w:val="false"/>
          <w:color w:val="000000"/>
          <w:sz w:val="22"/>
        </w:rPr>
        <w:t>(d)</w:t>
      </w:r>
      <w:r>
        <w:rPr>
          <w:rFonts w:ascii="Times New Roman;serif" w:hAnsi="Times New Roman;serif"/>
          <w:b w:val="false"/>
          <w:color w:val="000000"/>
          <w:sz w:val="22"/>
        </w:rPr>
        <w:t xml:space="preserve">Indebtedness of the Borrower owing to any Subsidiary and of any Subsidiary owing to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Indebtedness that is owed by or to a Subsidiary that is not a Subsidiary Loan Party shall be subject to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81" w:name="i2dc9010826b345938dc17ea7ff88feb2"/>
      <w:bookmarkEnd w:id="381"/>
      <w:r>
        <w:rPr>
          <w:rFonts w:ascii="Times New Roman;serif" w:hAnsi="Times New Roman;serif"/>
          <w:b w:val="false"/>
          <w:color w:val="000000"/>
          <w:sz w:val="22"/>
        </w:rPr>
        <w:t>(e)</w:t>
      </w:r>
      <w:r>
        <w:rPr>
          <w:rFonts w:ascii="Times New Roman;serif" w:hAnsi="Times New Roman;serif"/>
          <w:b w:val="false"/>
          <w:color w:val="000000"/>
          <w:sz w:val="22"/>
        </w:rPr>
        <w:t xml:space="preserve">Guarantees by the Borrower of Indebtedness of any Subsidiary and by any Subsidiary of Indebtedness of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Guarantees by any Loan Party of Indebtedness of any Subsidiary that is not a Subsidiary Loan Party shall be subject to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82" w:name="if9b5fefde1e34b7d8e52ea9caa0a06b1"/>
      <w:bookmarkEnd w:id="382"/>
      <w:r>
        <w:rPr>
          <w:rFonts w:ascii="Times New Roman;serif" w:hAnsi="Times New Roman;serif"/>
          <w:b w:val="false"/>
          <w:color w:val="000000"/>
          <w:sz w:val="22"/>
        </w:rPr>
        <w:t>(f)</w:t>
      </w:r>
      <w:r>
        <w:rPr>
          <w:rFonts w:ascii="Times New Roman;serif" w:hAnsi="Times New Roman;serif"/>
          <w:b w:val="false"/>
          <w:color w:val="000000"/>
          <w:sz w:val="22"/>
        </w:rPr>
        <w:t>Indebtedness of any Person which becomes a Subsidiary after the Closing Date and Indebtedness relating to assets acquired by the Borrower or any of its Subsidiaries after the Closing Date (such Indebtedness, “</w:t>
      </w:r>
      <w:r>
        <w:rPr>
          <w:rFonts w:ascii="Times New Roman;serif" w:hAnsi="Times New Roman;serif"/>
          <w:b w:val="false"/>
          <w:color w:val="000000"/>
          <w:sz w:val="22"/>
          <w:u w:val="single"/>
        </w:rPr>
        <w:t>Assumed Indebtedness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Indebtedness exists at the time that such Person becomes a Subsidiary or such asset is acquired and is not created in contemplation of or in connection with such Person becoming a Subsidiary or such asset being acquired, and (ii) the aggregate principal amount of all Assumed Indebtedness permitted hereunder shall not exceed the greater of (x) 10.0% of Consolidated EBITDA for the most recently ended Test Period (calculated on a Pro Forma Basis) and (y) $44,000,000 at any time outstanding;</w:t>
      </w:r>
    </w:p>
    <w:p>
      <w:pPr>
        <w:pStyle w:val="TextBody"/>
        <w:bidi w:val="0"/>
        <w:spacing w:lineRule="auto" w:line="240" w:before="0" w:after="240"/>
        <w:ind w:left="0" w:right="0" w:firstLine="1440"/>
        <w:jc w:val="both"/>
        <w:rPr/>
      </w:pPr>
      <w:bookmarkStart w:id="383" w:name="if3aacac804bb4eb48ce11f83531534fa"/>
      <w:bookmarkEnd w:id="383"/>
      <w:r>
        <w:rPr>
          <w:rFonts w:ascii="Times New Roman;serif" w:hAnsi="Times New Roman;serif"/>
          <w:b w:val="false"/>
          <w:color w:val="000000"/>
          <w:sz w:val="22"/>
        </w:rPr>
        <w:t>(g)</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384" w:name="i063a37126b4049aaaabb941ee6787243"/>
      <w:bookmarkEnd w:id="384"/>
      <w:r>
        <w:rPr>
          <w:rFonts w:ascii="Times New Roman;serif" w:hAnsi="Times New Roman;serif"/>
          <w:b w:val="false"/>
          <w:color w:val="000000"/>
          <w:sz w:val="22"/>
        </w:rPr>
        <w:t>(h)</w:t>
      </w:r>
      <w:r>
        <w:rPr>
          <w:rFonts w:ascii="Times New Roman;serif" w:hAnsi="Times New Roman;serif"/>
          <w:b w:val="false"/>
          <w:color w:val="000000"/>
          <w:sz w:val="22"/>
        </w:rPr>
        <w:t>the 2029 Convertible Notes;</w:t>
      </w:r>
    </w:p>
    <w:p>
      <w:pPr>
        <w:pStyle w:val="TextBody"/>
        <w:bidi w:val="0"/>
        <w:spacing w:lineRule="auto" w:line="240" w:before="0" w:after="240"/>
        <w:ind w:left="0" w:right="0" w:firstLine="1440"/>
        <w:jc w:val="both"/>
        <w:rPr/>
      </w:pPr>
      <w:bookmarkStart w:id="385" w:name="i43529ad2c58c4993a6d4fe82cff9fabd"/>
      <w:bookmarkEnd w:id="385"/>
      <w:r>
        <w:rPr>
          <w:rFonts w:ascii="Times New Roman;serif" w:hAnsi="Times New Roman;serif"/>
          <w:b w:val="false"/>
          <w:color w:val="000000"/>
          <w:sz w:val="22"/>
        </w:rPr>
        <w:t>(i)</w:t>
      </w:r>
      <w:r>
        <w:rPr>
          <w:rFonts w:ascii="Times New Roman;serif" w:hAnsi="Times New Roman;serif"/>
          <w:b w:val="false"/>
          <w:color w:val="000000"/>
          <w:sz w:val="22"/>
        </w:rPr>
        <w:t xml:space="preserve">Hedging Obligations permitted by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 xml:space="preserve">and Bank Product Obligations; </w:t>
      </w:r>
    </w:p>
    <w:p>
      <w:pPr>
        <w:pStyle w:val="TextBody"/>
        <w:bidi w:val="0"/>
        <w:spacing w:lineRule="auto" w:line="240" w:before="0" w:after="240"/>
        <w:ind w:left="0" w:right="0" w:firstLine="1440"/>
        <w:jc w:val="both"/>
        <w:rPr/>
      </w:pPr>
      <w:bookmarkStart w:id="386" w:name="ieb0b158450c541a8a87fce6052ba7909"/>
      <w:bookmarkEnd w:id="386"/>
      <w:r>
        <w:rPr>
          <w:rFonts w:ascii="Times New Roman;serif" w:hAnsi="Times New Roman;serif"/>
          <w:b w:val="false"/>
          <w:color w:val="000000"/>
          <w:sz w:val="22"/>
        </w:rPr>
        <w:t>(j)</w:t>
      </w:r>
      <w:r>
        <w:rPr>
          <w:rFonts w:ascii="Times New Roman;serif" w:hAnsi="Times New Roman;serif"/>
          <w:b w:val="false"/>
          <w:color w:val="000000"/>
          <w:sz w:val="22"/>
        </w:rPr>
        <w:t>unsecured Indebtedness arising from agreements of the Borrower or any of its Subsidiaries providing for indemnification, adjustment of purchase price, working capital adjustments or similar other deferred purchase price consideration (including earn-outs, milestones and royalty payments (solely to the extent such milestones or royalty payments constitute Indebtedness)), in each case, whether or not evidenced by a note and/or whether contingent or otherwise, and incurred or assumed in connection with any Permitted Acquisition or any other Investment permitted under this Agreement;</w:t>
      </w:r>
    </w:p>
    <w:p>
      <w:pPr>
        <w:pStyle w:val="TextBody"/>
        <w:bidi w:val="0"/>
        <w:spacing w:lineRule="auto" w:line="240" w:before="0" w:after="240"/>
        <w:ind w:left="0" w:right="0" w:firstLine="1440"/>
        <w:jc w:val="both"/>
        <w:rPr/>
      </w:pPr>
      <w:bookmarkStart w:id="387" w:name="i96e90bb0df3247b4847ae0411db87ed6"/>
      <w:bookmarkEnd w:id="387"/>
      <w:r>
        <w:rPr>
          <w:rFonts w:ascii="Times New Roman;serif" w:hAnsi="Times New Roman;serif"/>
          <w:b w:val="false"/>
          <w:color w:val="000000"/>
          <w:sz w:val="22"/>
        </w:rPr>
        <w:t>(k)</w:t>
      </w:r>
      <w:r>
        <w:rPr>
          <w:rFonts w:ascii="Times New Roman;serif" w:hAnsi="Times New Roman;serif"/>
          <w:b w:val="false"/>
          <w:color w:val="000000"/>
          <w:sz w:val="22"/>
        </w:rPr>
        <w:t>Indebtedness incurred in favor of insurance companies (or their financing affiliates) in connection with the financing of insurance premiums in the ordinary course of business;</w:t>
      </w:r>
    </w:p>
    <w:p>
      <w:pPr>
        <w:pStyle w:val="TextBody"/>
        <w:bidi w:val="0"/>
        <w:spacing w:lineRule="auto" w:line="240" w:before="0" w:after="240"/>
        <w:ind w:left="0" w:right="0" w:firstLine="1440"/>
        <w:jc w:val="both"/>
        <w:rPr/>
      </w:pPr>
      <w:bookmarkStart w:id="388" w:name="ic7fbf189097b4510bf5a927101b22409"/>
      <w:bookmarkEnd w:id="388"/>
      <w:r>
        <w:rPr>
          <w:rFonts w:ascii="Times New Roman;serif" w:hAnsi="Times New Roman;serif"/>
          <w:b w:val="false"/>
          <w:color w:val="000000"/>
          <w:sz w:val="22"/>
        </w:rPr>
        <w:t>(l)</w:t>
      </w:r>
      <w:r>
        <w:rPr>
          <w:rFonts w:ascii="Times New Roman;serif" w:hAnsi="Times New Roman;serif"/>
          <w:b w:val="false"/>
          <w:color w:val="000000"/>
          <w:sz w:val="22"/>
        </w:rPr>
        <w:t>Indebtedness in respect of (i) netting services, overdraft protections and otherwise in connection with deposit accounts, (ii) Bank Products or (iii) arising in connection with the endorsement of instruments for deposit, in each case, to the extent incurred in the ordinary course of business;</w:t>
      </w:r>
    </w:p>
    <w:p>
      <w:pPr>
        <w:pStyle w:val="TextBody"/>
        <w:bidi w:val="0"/>
        <w:spacing w:lineRule="auto" w:line="240" w:before="0" w:after="240"/>
        <w:ind w:left="0" w:right="0" w:firstLine="1440"/>
        <w:jc w:val="both"/>
        <w:rPr/>
      </w:pPr>
      <w:bookmarkStart w:id="389" w:name="ib4fa016c3ff84785a25328d6dc39ce51"/>
      <w:bookmarkEnd w:id="389"/>
      <w:r>
        <w:rPr>
          <w:rFonts w:ascii="Times New Roman;serif" w:hAnsi="Times New Roman;serif"/>
          <w:b w:val="false"/>
          <w:color w:val="000000"/>
          <w:sz w:val="22"/>
        </w:rPr>
        <w:t>(m)</w:t>
      </w:r>
      <w:r>
        <w:rPr>
          <w:rFonts w:ascii="Times New Roman;serif" w:hAnsi="Times New Roman;serif"/>
          <w:b w:val="false"/>
          <w:color w:val="000000"/>
          <w:sz w:val="22"/>
        </w:rPr>
        <w:t xml:space="preserve">obligations in respect of surety, stay, customs and appeal bonds, bid or performance bonds and performance and completion guaranties and obligations of a like nature (including letters of credit-related thereto), worker’s compensation claims, health, disability or other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036955"/>
                <wp:effectExtent l="0" t="0" r="0" b="0"/>
                <wp:wrapNone/>
                <wp:docPr id="236" name="Frame23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benefits or property, casualty or liability insurance or self-insurance obligations, trade contracts, governmental contracts and leases, in each case incurred in the ordinary course of business and not in connection with the borrowing of money;</w:t>
      </w:r>
    </w:p>
    <w:p>
      <w:pPr>
        <w:pStyle w:val="TextBody"/>
        <w:bidi w:val="0"/>
        <w:spacing w:lineRule="auto" w:line="240" w:before="0" w:after="240"/>
        <w:ind w:left="0" w:right="0" w:firstLine="1440"/>
        <w:jc w:val="both"/>
        <w:rPr/>
      </w:pPr>
      <w:bookmarkStart w:id="390" w:name="i415922686a184de0a1aabc520806a4aa"/>
      <w:bookmarkEnd w:id="390"/>
      <w:r>
        <w:rPr>
          <w:rFonts w:ascii="Times New Roman;serif" w:hAnsi="Times New Roman;serif"/>
          <w:b w:val="false"/>
          <w:color w:val="000000"/>
          <w:sz w:val="22"/>
        </w:rPr>
        <w:t>(n)</w:t>
      </w:r>
      <w:r>
        <w:rPr>
          <w:rFonts w:ascii="Times New Roman;serif" w:hAnsi="Times New Roman;serif"/>
          <w:b w:val="false"/>
          <w:color w:val="000000"/>
          <w:sz w:val="22"/>
        </w:rPr>
        <w:t>to the extent constituting Indebtedness, deposits and advance payments received from customers in the ordinary course of business;</w:t>
      </w:r>
    </w:p>
    <w:p>
      <w:pPr>
        <w:pStyle w:val="TextBody"/>
        <w:bidi w:val="0"/>
        <w:spacing w:lineRule="auto" w:line="240" w:before="0" w:after="240"/>
        <w:ind w:left="0" w:right="0" w:firstLine="1440"/>
        <w:jc w:val="both"/>
        <w:rPr/>
      </w:pPr>
      <w:bookmarkStart w:id="391" w:name="ic951f41789db4703a5affed7cbb0f445"/>
      <w:bookmarkEnd w:id="391"/>
      <w:r>
        <w:rPr>
          <w:rFonts w:ascii="Times New Roman;serif" w:hAnsi="Times New Roman;serif"/>
          <w:b w:val="false"/>
          <w:color w:val="000000"/>
          <w:sz w:val="22"/>
        </w:rPr>
        <w:t>(o)</w:t>
      </w:r>
      <w:r>
        <w:rPr>
          <w:rFonts w:ascii="Times New Roman;serif" w:hAnsi="Times New Roman;serif"/>
          <w:b w:val="false"/>
          <w:color w:val="000000"/>
          <w:sz w:val="22"/>
        </w:rPr>
        <w:t xml:space="preserve">to the extent constituting Indebtedness, bonus or other deferred compensation arrangements with respect to officers, directors, employees or consultants of the Borrower or any of its Subsidiaries solely in their capacities as such that is paid in the ordinary course of business; </w:t>
      </w:r>
    </w:p>
    <w:p>
      <w:pPr>
        <w:pStyle w:val="TextBody"/>
        <w:bidi w:val="0"/>
        <w:spacing w:lineRule="auto" w:line="240" w:before="0" w:after="240"/>
        <w:ind w:left="0" w:right="0" w:firstLine="1440"/>
        <w:jc w:val="both"/>
        <w:rPr/>
      </w:pPr>
      <w:bookmarkStart w:id="392" w:name="ide56073f158b4a6998811a2a50e3786a"/>
      <w:bookmarkEnd w:id="392"/>
      <w:r>
        <w:rPr>
          <w:rFonts w:ascii="Times New Roman;serif" w:hAnsi="Times New Roman;serif"/>
          <w:b w:val="false"/>
          <w:color w:val="000000"/>
          <w:sz w:val="22"/>
        </w:rPr>
        <w:t>(p)</w:t>
      </w:r>
      <w:r>
        <w:rPr>
          <w:rFonts w:ascii="Times New Roman;serif" w:hAnsi="Times New Roman;serif"/>
          <w:b w:val="false"/>
          <w:color w:val="000000"/>
          <w:sz w:val="22"/>
        </w:rPr>
        <w:t xml:space="preserve">non-cash accruals of interest, accretion or amortization of original issue discount and/or pay-in-kind interest with respect to Indebtedness otherwise permitted under this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393" w:name="i4bb2ca0c382e44929f1d2cbf7972034b"/>
      <w:bookmarkEnd w:id="393"/>
      <w:r>
        <w:rPr>
          <w:rFonts w:ascii="Times New Roman;serif" w:hAnsi="Times New Roman;serif"/>
          <w:b w:val="false"/>
          <w:color w:val="000000"/>
          <w:sz w:val="22"/>
        </w:rPr>
        <w:t>(q)</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394" w:name="i907e50c23c354da29cd0113edbc476d4"/>
      <w:bookmarkEnd w:id="394"/>
      <w:r>
        <w:rPr>
          <w:rFonts w:ascii="Times New Roman;serif" w:hAnsi="Times New Roman;serif"/>
          <w:b w:val="false"/>
          <w:color w:val="000000"/>
          <w:sz w:val="22"/>
        </w:rPr>
        <w:t>(r)</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395" w:name="i2efb0a97f8994d83af5c642f60beb36b"/>
      <w:bookmarkEnd w:id="395"/>
      <w:r>
        <w:rPr>
          <w:rFonts w:ascii="Times New Roman;serif" w:hAnsi="Times New Roman;serif"/>
          <w:b w:val="false"/>
          <w:color w:val="000000"/>
          <w:sz w:val="22"/>
        </w:rPr>
        <w:t>(s)</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396" w:name="ie5180f4afa174af7862ca67a30bd8aab"/>
      <w:bookmarkEnd w:id="396"/>
      <w:r>
        <w:rPr>
          <w:rFonts w:ascii="Times New Roman;serif" w:hAnsi="Times New Roman;serif"/>
          <w:b w:val="false"/>
          <w:color w:val="000000"/>
          <w:sz w:val="22"/>
        </w:rPr>
        <w:t>(t)</w:t>
      </w:r>
      <w:r>
        <w:rPr>
          <w:rFonts w:ascii="Times New Roman;serif" w:hAnsi="Times New Roman;serif"/>
          <w:b w:val="false"/>
          <w:color w:val="000000"/>
          <w:sz w:val="22"/>
        </w:rPr>
        <w:t xml:space="preserve">other Indebtedness of the Borrower or any of its Subsidiaries in an aggregate principal amount not to exceed the greater of (x) 25.0% of Consolidated EBITDA for the most recently ended Test Period (calculated on a Pro Forma Basis) and (y) $110,000,000 at any time outstanding; </w:t>
      </w:r>
    </w:p>
    <w:p>
      <w:pPr>
        <w:pStyle w:val="TextBody"/>
        <w:bidi w:val="0"/>
        <w:spacing w:lineRule="auto" w:line="240" w:before="0" w:after="240"/>
        <w:ind w:left="0" w:right="0" w:firstLine="1440"/>
        <w:jc w:val="both"/>
        <w:rPr/>
      </w:pPr>
      <w:bookmarkStart w:id="397" w:name="i77906091fad148cbac2847f105bab86c"/>
      <w:bookmarkEnd w:id="397"/>
      <w:r>
        <w:rPr>
          <w:rFonts w:ascii="Times New Roman;serif" w:hAnsi="Times New Roman;serif"/>
          <w:b w:val="false"/>
          <w:color w:val="000000"/>
          <w:sz w:val="22"/>
        </w:rPr>
        <w:t>(u)</w:t>
      </w:r>
      <w:r>
        <w:rPr>
          <w:rFonts w:ascii="Times New Roman;serif" w:hAnsi="Times New Roman;serif"/>
          <w:b w:val="false"/>
          <w:color w:val="000000"/>
          <w:sz w:val="22"/>
        </w:rPr>
        <w:t xml:space="preserve">other unsecured Indebtedness of any Loan Party (not including, for the avoidance of doubt, any Subsidiary that is not a Loan Party)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 xml:space="preserve">(i) before and after giving effect to the incurrence of any such unsecured Indebtedness, no Default or Event of Default has occurred and is continuing, (ii) the Borrower shall have delivered to the Administrative Agent a </w:t>
      </w:r>
      <w:r>
        <w:rPr>
          <w:rFonts w:ascii="Times New Roman;serif" w:hAnsi="Times New Roman;serif"/>
          <w:b w:val="false"/>
          <w:i/>
          <w:color w:val="000000"/>
          <w:sz w:val="22"/>
        </w:rPr>
        <w:t xml:space="preserve">pro forma </w:t>
      </w:r>
      <w:r>
        <w:rPr>
          <w:rFonts w:ascii="Times New Roman;serif" w:hAnsi="Times New Roman;serif"/>
          <w:b w:val="false"/>
          <w:color w:val="000000"/>
          <w:sz w:val="22"/>
        </w:rPr>
        <w:t xml:space="preserve">Compliance Certificate signed by a Responsible Officer demonstrating that after giving effect to the proposed incurrence and/or funding, the Consolidated Total Net Leverage Ratio, on a Pro Forma Basis, is less than 3.50:1.00, (iii) the maturity date of such unsecured Indebtedness is no earlier than 91 days after the latest Maturity Date hereunder, (iv) such Indebtedness is not guaranteed by any Person other than the Guarantors and (v) the restrictions and covenants set forth in any documentation evidencing such unsecured Indebtedness are not, when taken as a whole, materially more favorable (as reasonably determined in good faith by the Borrower) to the lenders providing such Indebtedness than those applicable to the Term Facilities (except for covenants or other provisions applicable only to periods after the Maturity Date, closing date conditions, fees, interest rate, call protection, conversion rights and other economic terms) than those in effect under this Agreement at the time of incurrence of such Indebtedness; </w:t>
      </w:r>
    </w:p>
    <w:p>
      <w:pPr>
        <w:pStyle w:val="TextBody"/>
        <w:bidi w:val="0"/>
        <w:spacing w:lineRule="auto" w:line="240" w:before="0" w:after="240"/>
        <w:ind w:left="0" w:right="0" w:firstLine="1440"/>
        <w:jc w:val="both"/>
        <w:rPr/>
      </w:pPr>
      <w:bookmarkStart w:id="398" w:name="i586f4f658728463ab5f2476ee9193a0b"/>
      <w:bookmarkEnd w:id="398"/>
      <w:r>
        <w:rPr>
          <w:rFonts w:ascii="Times New Roman;serif" w:hAnsi="Times New Roman;serif"/>
          <w:b w:val="false"/>
          <w:color w:val="000000"/>
          <w:sz w:val="22"/>
        </w:rPr>
        <w:t>(v)</w:t>
      </w:r>
      <w:r>
        <w:rPr>
          <w:rFonts w:ascii="Times New Roman;serif" w:hAnsi="Times New Roman;serif"/>
          <w:b w:val="false"/>
          <w:color w:val="000000"/>
          <w:sz w:val="22"/>
        </w:rPr>
        <w:t xml:space="preserve">Incremental Equivalent Debt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 xml:space="preserve">(i) all such Indebtedness is incurred in accordance with the requirements of the definition of “Incremental Equivalent Debt”, (ii) no Event of Default shall have occurred and be continuing on such date or immediately after giving effect to the incurrence of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with respect to any such Indebtedness incurred in connection with a Limited Condition Acquisition, at the Borrower’s election, such requirement shall be limited to the absence of an Event of Default on the LCA Test Date when the commitments for such Indebtedness are issued and no Specified Event of Default as of the date such Limited Condition Acquisition is consummated and such Indebtedness is funded, and (iii) the Borrower shall have delivered to the Administrative Agent a pro forma Compliance Certificate signed by a Responsible Officer demonstrating that after giving effect to the proposed incurrence and/or funding, the Consolidated First Lien Net Leverage Ratio, the Consolidated Secured Net Leverage Ratio or the Consolidated Total Net Leverage Ratio, as applicable, on a Pro Forma Basis, is less than the applicable ratio provided for in in </w:t>
      </w:r>
      <w:r>
        <w:rPr>
          <w:rFonts w:ascii="Times New Roman;serif" w:hAnsi="Times New Roman;serif"/>
          <w:b w:val="false"/>
          <w:color w:val="000000"/>
          <w:sz w:val="22"/>
          <w:u w:val="single"/>
        </w:rPr>
        <w:t>Section 2.23(a)(i)</w:t>
      </w:r>
      <w:r>
        <w:rPr>
          <w:color w:val="000000"/>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MFN Protection shall apply to any Incremental Equivalent Debt consisting of term loans or notes that are secured on a </w:t>
      </w:r>
      <w:r>
        <w:rPr>
          <w:rFonts w:ascii="Times New Roman;serif" w:hAnsi="Times New Roman;serif"/>
          <w:b w:val="false"/>
          <w:i/>
          <w:color w:val="000000"/>
          <w:sz w:val="22"/>
        </w:rPr>
        <w:t xml:space="preserve">pari passu </w:t>
      </w:r>
      <w:r>
        <w:rPr>
          <w:rFonts w:ascii="Times New Roman;serif" w:hAnsi="Times New Roman;serif"/>
          <w:b w:val="false"/>
          <w:color w:val="000000"/>
          <w:sz w:val="22"/>
        </w:rPr>
        <w:t xml:space="preserve">basis with the Term A Loans, determined as though such Incremental Equivalent Debt were “Incremental Term Facilities” referred to in the MFN Protection; </w:t>
      </w:r>
    </w:p>
    <w:p>
      <w:pPr>
        <w:pStyle w:val="TextBody"/>
        <w:bidi w:val="0"/>
        <w:spacing w:lineRule="auto" w:line="240" w:before="0" w:after="240"/>
        <w:ind w:left="0" w:right="0" w:firstLine="1440"/>
        <w:jc w:val="both"/>
        <w:rPr/>
      </w:pPr>
      <w:bookmarkStart w:id="399" w:name="ia7a28ecf65e44dacbb896f11f54e153d"/>
      <w:bookmarkEnd w:id="399"/>
      <w:r>
        <w:rPr>
          <w:rFonts w:ascii="Times New Roman;serif" w:hAnsi="Times New Roman;serif"/>
          <w:b w:val="false"/>
          <w:color w:val="000000"/>
          <w:sz w:val="22"/>
        </w:rPr>
        <w:t>(w)</w:t>
      </w:r>
      <w:r>
        <w:rPr>
          <w:rFonts w:ascii="Times New Roman;serif" w:hAnsi="Times New Roman;serif"/>
          <w:b w:val="false"/>
          <w:color w:val="000000"/>
          <w:sz w:val="22"/>
        </w:rPr>
        <w:t>[reserved]; and</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036955"/>
                <wp:effectExtent l="0" t="0" r="0" b="0"/>
                <wp:wrapNone/>
                <wp:docPr id="237" name="Frame23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40" w:before="0" w:after="240"/>
        <w:ind w:left="0" w:right="0" w:firstLine="1440"/>
        <w:jc w:val="both"/>
        <w:rPr/>
      </w:pPr>
      <w:bookmarkStart w:id="400" w:name="iaefbb482071b448a9db65b3156e77cf9"/>
      <w:bookmarkEnd w:id="400"/>
      <w:r>
        <w:rPr>
          <w:rFonts w:ascii="Times New Roman;serif" w:hAnsi="Times New Roman;serif"/>
          <w:b w:val="false"/>
          <w:color w:val="000000"/>
          <w:sz w:val="22"/>
        </w:rPr>
        <w:t>(x)</w:t>
      </w:r>
      <w:r>
        <w:rPr>
          <w:rFonts w:ascii="Times New Roman;serif" w:hAnsi="Times New Roman;serif"/>
          <w:b w:val="false"/>
          <w:color w:val="000000"/>
          <w:sz w:val="22"/>
        </w:rPr>
        <w:t xml:space="preserve">Indebtedness which serves to refund, refinance, extend, replace, renew or defease any Indebtedness incurred as permitted under </w:t>
      </w:r>
      <w:r>
        <w:rPr>
          <w:rFonts w:ascii="Times New Roman;serif" w:hAnsi="Times New Roman;serif"/>
          <w:b w:val="false"/>
          <w:color w:val="000000"/>
          <w:sz w:val="22"/>
          <w:u w:val="single"/>
        </w:rPr>
        <w:t>Sections 7.2(b)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 this clause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Indebtedness constitutes Permitted Refinancing Indebtedness.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Borrower will not, and will not permit any Subsidiary to, issue any Disqualified Capital Stock.</w:t>
      </w:r>
    </w:p>
    <w:p>
      <w:pPr>
        <w:pStyle w:val="TextBody"/>
        <w:bidi w:val="0"/>
        <w:spacing w:lineRule="auto" w:line="288" w:before="0" w:after="240"/>
        <w:jc w:val="both"/>
        <w:rPr/>
      </w:pPr>
      <w:r>
        <w:rPr>
          <w:rFonts w:ascii="Times New Roman;serif" w:hAnsi="Times New Roman;serif"/>
          <w:b w:val="false"/>
          <w:color w:val="000000"/>
          <w:sz w:val="22"/>
        </w:rPr>
        <w:t>Notwithstanding anything to the contrary set forth herein, neither the Borrower nor any Guarantor shall be permitted to create, incur, assume, guaranty or otherwise become or remain directly or indirectly liable with respect to any Indebtedness that is, from or of, a Subsidiary that is not a Guarantor (such creation, incurrence, assumption or guaranty being referred to as “</w:t>
      </w:r>
      <w:r>
        <w:rPr>
          <w:rFonts w:ascii="Times New Roman;serif" w:hAnsi="Times New Roman;serif"/>
          <w:b w:val="false"/>
          <w:color w:val="000000"/>
          <w:sz w:val="22"/>
          <w:u w:val="single"/>
        </w:rPr>
        <w:t>Non-Loan Party Indebtedness of Secured Loan Parties</w:t>
      </w:r>
      <w:r>
        <w:rPr>
          <w:color w:val="000000"/>
        </w:rPr>
        <w:t>”</w:t>
      </w:r>
      <w:r>
        <w:rPr>
          <w:rFonts w:ascii="Times New Roman;serif" w:hAnsi="Times New Roman;serif"/>
          <w:b w:val="false"/>
          <w:color w:val="000000"/>
          <w:sz w:val="22"/>
        </w:rPr>
        <w:t>), in each case, to the extent that the structuring of any claims with respect to any Indebtedness created, assumed, incurred or guaranteed by such Borrower or Guarantors, together with any Non-Loan Party Indebtedness of Secured Loan Parties, could reasonably be expected to result in two or more bankruptcy claims against the same Borrower or Guarantor or a double claim for direct and indirect obligations against the same Borrower or Guarantor, arising from one transaction or series of transactions relating to the same underlying Non-Loan Party Indebtedness of Secured Loan Parties.</w:t>
      </w:r>
    </w:p>
    <w:p>
      <w:pPr>
        <w:pStyle w:val="TextBody"/>
        <w:bidi w:val="0"/>
        <w:spacing w:lineRule="auto" w:line="288" w:before="0" w:after="240"/>
        <w:jc w:val="both"/>
        <w:rPr/>
      </w:pPr>
      <w:r>
        <w:rPr>
          <w:rFonts w:ascii="Times New Roman;serif" w:hAnsi="Times New Roman;serif"/>
          <w:b w:val="false"/>
          <w:color w:val="000000"/>
          <w:sz w:val="22"/>
        </w:rPr>
        <w:t xml:space="preserve">For purposes of determining compliance with this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in the event that an item of Indebtedness (or any portion thereof) at any time, whether at the time of incurrence or issuance or upon the application of all or a portion of the proceeds thereof or subsequently, meets the criteria of more than one of the categories of permitted under </w:t>
      </w:r>
      <w:r>
        <w:rPr>
          <w:rFonts w:ascii="Times New Roman;serif" w:hAnsi="Times New Roman;serif"/>
          <w:b w:val="false"/>
          <w:color w:val="000000"/>
          <w:sz w:val="22"/>
          <w:u w:val="single"/>
        </w:rPr>
        <w:t>Section 7.1(b)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 xml:space="preserve">above, the Borrower, in its sole discretion, will classify and may subsequently reclassify such item of Indebtedness (or any portion thereof) in any one or more of the types of Indebtedness described in </w:t>
      </w:r>
      <w:r>
        <w:rPr>
          <w:rFonts w:ascii="Times New Roman;serif" w:hAnsi="Times New Roman;serif"/>
          <w:b w:val="false"/>
          <w:color w:val="000000"/>
          <w:sz w:val="22"/>
          <w:u w:val="single"/>
        </w:rPr>
        <w:t>Section 7.1(b)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 xml:space="preserve">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clauses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(x)</w:t>
      </w:r>
      <w:r>
        <w:rPr>
          <w:rFonts w:ascii="Times New Roman;serif" w:hAnsi="Times New Roman;serif"/>
          <w:b w:val="false"/>
          <w:color w:val="000000"/>
          <w:sz w:val="22"/>
        </w:rPr>
        <w:t>. For the avoidance of doubt, Indebtedness outstanding under the Loan Documents will be deemed to have been incurred in reliance only on clause (a).</w:t>
      </w:r>
    </w:p>
    <w:p>
      <w:pPr>
        <w:pStyle w:val="TextBody"/>
        <w:bidi w:val="0"/>
        <w:spacing w:lineRule="auto" w:line="240" w:before="0" w:after="0"/>
        <w:ind w:left="0" w:right="0" w:firstLine="720"/>
        <w:jc w:val="both"/>
        <w:rPr/>
      </w:pPr>
      <w:bookmarkStart w:id="401" w:name="i18101aff88424dd59619c1e2bf3f576d"/>
      <w:bookmarkEnd w:id="401"/>
      <w:r>
        <w:rPr>
          <w:rFonts w:ascii="Times New Roman;serif" w:hAnsi="Times New Roman;serif"/>
          <w:b/>
          <w:color w:val="000000"/>
          <w:sz w:val="22"/>
        </w:rPr>
        <w:t>Section 7.2</w:t>
      </w:r>
      <w:r>
        <w:rPr>
          <w:rFonts w:ascii="Times New Roman;serif" w:hAnsi="Times New Roman;serif"/>
          <w:b/>
          <w:color w:val="000000"/>
          <w:sz w:val="22"/>
          <w:u w:val="single"/>
        </w:rPr>
        <w:t>Liens</w:t>
      </w:r>
      <w:r>
        <w:rPr>
          <w:rFonts w:ascii="Times New Roman;serif" w:hAnsi="Times New Roman;serif"/>
          <w:b w:val="false"/>
          <w:color w:val="000000"/>
          <w:sz w:val="22"/>
        </w:rPr>
        <w:t>. The Borrower will not, and will not permit any of its Subsidiaries to, create, incur, assume or suffer to exist any Lien on any of its assets or property now owned or hereafter acquired, except:</w:t>
      </w:r>
    </w:p>
    <w:p>
      <w:pPr>
        <w:pStyle w:val="TextBody"/>
        <w:bidi w:val="0"/>
        <w:spacing w:lineRule="auto" w:line="240" w:before="0" w:after="240"/>
        <w:ind w:left="0" w:right="0" w:firstLine="1440"/>
        <w:jc w:val="both"/>
        <w:rPr/>
      </w:pPr>
      <w:bookmarkStart w:id="402" w:name="i9969e3615a2e4ca7ade0bf88bcf54f56"/>
      <w:bookmarkEnd w:id="402"/>
      <w:r>
        <w:rPr>
          <w:rFonts w:ascii="Times New Roman;serif" w:hAnsi="Times New Roman;serif"/>
          <w:b w:val="false"/>
          <w:color w:val="000000"/>
          <w:sz w:val="22"/>
        </w:rPr>
        <w:t>(a)</w:t>
      </w:r>
      <w:r>
        <w:rPr>
          <w:rFonts w:ascii="Times New Roman;serif" w:hAnsi="Times New Roman;serif"/>
          <w:b w:val="false"/>
          <w:color w:val="000000"/>
          <w:sz w:val="22"/>
        </w:rPr>
        <w:t xml:space="preserve">Liens securing the Obligations; provided that no Liens may secure Hedging Obligations or Bank Product Obligations without securing all other Obligations on a basis at least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such Hedging Obligations or Bank Product Obligations and subject to the priority of payments set forth in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8.2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403" w:name="i4713eaf7efd749599f91d101b70e8af5"/>
      <w:bookmarkEnd w:id="403"/>
      <w:r>
        <w:rPr>
          <w:rFonts w:ascii="Times New Roman;serif" w:hAnsi="Times New Roman;serif"/>
          <w:b w:val="false"/>
          <w:color w:val="000000"/>
          <w:sz w:val="22"/>
        </w:rPr>
        <w:t>(b)</w:t>
      </w:r>
      <w:r>
        <w:rPr>
          <w:rFonts w:ascii="Times New Roman;serif" w:hAnsi="Times New Roman;serif"/>
          <w:b w:val="false"/>
          <w:color w:val="000000"/>
          <w:sz w:val="22"/>
        </w:rPr>
        <w:t>Permitted Encumbrances;</w:t>
      </w:r>
    </w:p>
    <w:p>
      <w:pPr>
        <w:pStyle w:val="TextBody"/>
        <w:bidi w:val="0"/>
        <w:spacing w:lineRule="auto" w:line="240" w:before="0" w:after="240"/>
        <w:ind w:left="0" w:right="0" w:firstLine="1440"/>
        <w:jc w:val="both"/>
        <w:rPr/>
      </w:pPr>
      <w:bookmarkStart w:id="404" w:name="i7d060d22dc4f498aa6a5e616565c765c"/>
      <w:bookmarkEnd w:id="404"/>
      <w:r>
        <w:rPr>
          <w:rFonts w:ascii="Times New Roman;serif" w:hAnsi="Times New Roman;serif"/>
          <w:b w:val="false"/>
          <w:color w:val="000000"/>
          <w:sz w:val="22"/>
        </w:rPr>
        <w:t>(c)</w:t>
      </w:r>
      <w:r>
        <w:rPr>
          <w:rFonts w:ascii="Times New Roman;serif" w:hAnsi="Times New Roman;serif"/>
          <w:b w:val="false"/>
          <w:color w:val="000000"/>
          <w:sz w:val="22"/>
        </w:rPr>
        <w:t xml:space="preserve">Liens on any property or asset of the Borrower or any of its Subsidiaries existing as of the Closing Date and set forth in </w:t>
      </w:r>
      <w:r>
        <w:rPr>
          <w:rFonts w:ascii="Times New Roman;serif" w:hAnsi="Times New Roman;serif"/>
          <w:b w:val="false"/>
          <w:color w:val="000000"/>
          <w:sz w:val="22"/>
          <w:u w:val="single"/>
        </w:rPr>
        <w:t>Schedule 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shall not apply to any other property or asset of such Person;</w:t>
      </w:r>
    </w:p>
    <w:p>
      <w:pPr>
        <w:pStyle w:val="TextBody"/>
        <w:bidi w:val="0"/>
        <w:spacing w:lineRule="auto" w:line="240" w:before="0" w:after="240"/>
        <w:ind w:left="0" w:right="0" w:firstLine="1440"/>
        <w:jc w:val="both"/>
        <w:rPr/>
      </w:pPr>
      <w:bookmarkStart w:id="405" w:name="i12ebf74cc7c042ea9154d81d34bbc160"/>
      <w:bookmarkEnd w:id="405"/>
      <w:r>
        <w:rPr>
          <w:rFonts w:ascii="Times New Roman;serif" w:hAnsi="Times New Roman;serif"/>
          <w:b w:val="false"/>
          <w:color w:val="000000"/>
          <w:sz w:val="22"/>
        </w:rPr>
        <w:t>(d)</w:t>
      </w:r>
      <w:r>
        <w:rPr>
          <w:rFonts w:ascii="Times New Roman;serif" w:hAnsi="Times New Roman;serif"/>
          <w:b w:val="false"/>
          <w:color w:val="000000"/>
          <w:sz w:val="22"/>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provided that (i) such Lien secures Indebtedness permitted by </w:t>
      </w:r>
      <w:r>
        <w:rPr>
          <w:rFonts w:ascii="Times New Roman;serif" w:hAnsi="Times New Roman;serif"/>
          <w:b w:val="false"/>
          <w:color w:val="000000"/>
          <w:sz w:val="22"/>
          <w:u w:val="single"/>
        </w:rPr>
        <w:t>Section 7.1(c</w:t>
      </w:r>
      <w:r>
        <w:rPr>
          <w:rFonts w:ascii="Times New Roman;serif" w:hAnsi="Times New Roman;serif"/>
          <w:b w:val="false"/>
          <w:color w:val="000000"/>
          <w:sz w:val="22"/>
        </w:rPr>
        <w:t xml:space="preserve">), (ii) such Lien attaches to such asset concurrently or within 270 days after the acquisition or the completion of the construction or improvements thereof (or, in the case of an extension, refinancing, replacement or renewal, at the time of such extension, refinancing, replacement or renewal), (iii) such Lien does not extend to any other asset (other than accessions thereto and reasonable extensions thereof and the proceeds or products thereof (it being understood and agreed that the individual financings of the type described in </w:t>
      </w:r>
      <w:r>
        <w:rPr>
          <w:rFonts w:ascii="Times New Roman;serif" w:hAnsi="Times New Roman;serif"/>
          <w:b w:val="false"/>
          <w:color w:val="000000"/>
          <w:sz w:val="22"/>
          <w:u w:val="single"/>
        </w:rPr>
        <w:t>Section 7.1(c)</w:t>
      </w:r>
      <w:r>
        <w:rPr>
          <w:color w:val="000000"/>
        </w:rPr>
        <w:t xml:space="preserve"> </w:t>
      </w:r>
      <w:r>
        <w:rPr>
          <w:rFonts w:ascii="Times New Roman;serif" w:hAnsi="Times New Roman;serif"/>
          <w:b w:val="false"/>
          <w:color w:val="000000"/>
          <w:sz w:val="22"/>
        </w:rPr>
        <w:t xml:space="preserve">by any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036955"/>
                <wp:effectExtent l="0" t="0" r="0" b="0"/>
                <wp:wrapNone/>
                <wp:docPr id="238" name="Frame23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lender may be cross-collateralized to other financings of such type provided by such lender or its Affiliates)), and (iv) the Indebtedness secured thereby does not exceed the cost (including interests, fees and expenses) of acquiring, constructing or improving such fixed or capital assets;</w:t>
      </w:r>
    </w:p>
    <w:p>
      <w:pPr>
        <w:pStyle w:val="TextBody"/>
        <w:bidi w:val="0"/>
        <w:spacing w:lineRule="auto" w:line="240" w:before="0" w:after="240"/>
        <w:ind w:left="0" w:right="0" w:firstLine="1440"/>
        <w:jc w:val="both"/>
        <w:rPr/>
      </w:pPr>
      <w:bookmarkStart w:id="406" w:name="i21887e393369413bb34bcdce29fc47b9"/>
      <w:bookmarkEnd w:id="406"/>
      <w:r>
        <w:rPr>
          <w:rFonts w:ascii="Times New Roman;serif" w:hAnsi="Times New Roman;serif"/>
          <w:b w:val="false"/>
          <w:color w:val="000000"/>
          <w:sz w:val="22"/>
        </w:rPr>
        <w:t>(e)</w:t>
      </w:r>
      <w:r>
        <w:rPr>
          <w:rFonts w:ascii="Times New Roman;serif" w:hAnsi="Times New Roman;serif"/>
          <w:b w:val="false"/>
          <w:color w:val="000000"/>
          <w:sz w:val="22"/>
        </w:rPr>
        <w:t xml:space="preserve">any Lien (x) existing on any asset of any Person at the time such Person becomes a Subsidiary of the Borrower, (y) existing on any asset of any Person at the time such Person is merged with or into the Borrower or any of its Subsidiaries, or (z) existing on any asset prior to the acquisition thereof by the Borrower or any of its Subsidiaries,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such Lien was not created in the contemplation of any of the foregoing and (ii) any such Lien secures only those obligations which it secures on the date that such Person becomes a Subsidiary or the date of such merger or the date of such acquisition (other than accessions thereto and reasonable extensions thereof and the proceeds or products thereof (it being understood and agreed that the individual financings of the type described in </w:t>
      </w:r>
      <w:r>
        <w:rPr>
          <w:rFonts w:ascii="Times New Roman;serif" w:hAnsi="Times New Roman;serif"/>
          <w:b w:val="false"/>
          <w:color w:val="000000"/>
          <w:sz w:val="22"/>
          <w:u w:val="single"/>
        </w:rPr>
        <w:t>Section 7.1(c)</w:t>
      </w:r>
      <w:r>
        <w:rPr>
          <w:color w:val="000000"/>
        </w:rPr>
        <w:t xml:space="preserve"> </w:t>
      </w:r>
      <w:r>
        <w:rPr>
          <w:rFonts w:ascii="Times New Roman;serif" w:hAnsi="Times New Roman;serif"/>
          <w:b w:val="false"/>
          <w:color w:val="000000"/>
          <w:sz w:val="22"/>
        </w:rPr>
        <w:t xml:space="preserve">by any lender may be cross-collateralized to other financings of such type provided by such lender or its Affiliates)); </w:t>
      </w:r>
    </w:p>
    <w:p>
      <w:pPr>
        <w:pStyle w:val="TextBody"/>
        <w:bidi w:val="0"/>
        <w:spacing w:lineRule="auto" w:line="240" w:before="0" w:after="240"/>
        <w:ind w:left="0" w:right="0" w:firstLine="1440"/>
        <w:jc w:val="both"/>
        <w:rPr/>
      </w:pPr>
      <w:bookmarkStart w:id="407" w:name="i35df115dd8d343cc9a8ef8f8992571b1"/>
      <w:bookmarkEnd w:id="407"/>
      <w:r>
        <w:rPr>
          <w:rFonts w:ascii="Times New Roman;serif" w:hAnsi="Times New Roman;serif"/>
          <w:b w:val="false"/>
          <w:color w:val="000000"/>
          <w:sz w:val="22"/>
        </w:rPr>
        <w:t>(f)</w:t>
      </w:r>
      <w:r>
        <w:rPr>
          <w:rFonts w:ascii="Times New Roman;serif" w:hAnsi="Times New Roman;serif"/>
          <w:b w:val="false"/>
          <w:color w:val="000000"/>
          <w:sz w:val="22"/>
        </w:rPr>
        <w:t xml:space="preserve">extensions, renewals, or replacements of any Lien referred to in subsections (b) through (e), (j) and (l) of this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principal amount of the Indebtedness secured thereby is not increased (other than in an amount not to exceed unpaid interest and fees, and fees and expenses incurred in connection therewith) and that any such extension, renewal or replacement is limited to the assets originally encumbered thereby; </w:t>
      </w:r>
    </w:p>
    <w:p>
      <w:pPr>
        <w:pStyle w:val="TextBody"/>
        <w:bidi w:val="0"/>
        <w:spacing w:lineRule="auto" w:line="240" w:before="0" w:after="240"/>
        <w:ind w:left="0" w:right="0" w:firstLine="1440"/>
        <w:jc w:val="both"/>
        <w:rPr/>
      </w:pPr>
      <w:bookmarkStart w:id="408" w:name="i475eff2a94314e49bfe4f959228649aa"/>
      <w:bookmarkEnd w:id="408"/>
      <w:r>
        <w:rPr>
          <w:rFonts w:ascii="Times New Roman;serif" w:hAnsi="Times New Roman;serif"/>
          <w:b w:val="false"/>
          <w:color w:val="000000"/>
          <w:sz w:val="22"/>
        </w:rPr>
        <w:t>(g)</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09" w:name="i617ced34ecdb4e26836f4276bbe8641b"/>
      <w:bookmarkEnd w:id="409"/>
      <w:r>
        <w:rPr>
          <w:rFonts w:ascii="Times New Roman;serif" w:hAnsi="Times New Roman;serif"/>
          <w:b w:val="false"/>
          <w:color w:val="000000"/>
          <w:sz w:val="22"/>
        </w:rPr>
        <w:t>(h)</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10" w:name="ife8f5db29dd441e28e8597b9234c4219"/>
      <w:bookmarkEnd w:id="410"/>
      <w:r>
        <w:rPr>
          <w:rFonts w:ascii="Times New Roman;serif" w:hAnsi="Times New Roman;serif"/>
          <w:b w:val="false"/>
          <w:color w:val="000000"/>
          <w:sz w:val="22"/>
        </w:rPr>
        <w:t>(i)</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11" w:name="ib0e3a7592bae42dd87962939965c61ce"/>
      <w:bookmarkEnd w:id="411"/>
      <w:r>
        <w:rPr>
          <w:rFonts w:ascii="Times New Roman;serif" w:hAnsi="Times New Roman;serif"/>
          <w:b w:val="false"/>
          <w:color w:val="000000"/>
          <w:sz w:val="22"/>
        </w:rPr>
        <w:t>(j)</w:t>
      </w:r>
      <w:r>
        <w:rPr>
          <w:rFonts w:ascii="Times New Roman;serif" w:hAnsi="Times New Roman;serif"/>
          <w:b w:val="false"/>
          <w:color w:val="000000"/>
          <w:sz w:val="22"/>
        </w:rPr>
        <w:t xml:space="preserve">other Liens not specifically listed in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securing other obligations in an aggregate amount not to exceed the greater of (x) 25.0% of Consolidated EBITDA for the most recently ended Test Period (calculated on a Pro Forma Basis) and (y) $110,000,000 at any time outstanding; </w:t>
      </w:r>
    </w:p>
    <w:p>
      <w:pPr>
        <w:pStyle w:val="TextBody"/>
        <w:bidi w:val="0"/>
        <w:spacing w:lineRule="auto" w:line="240" w:before="0" w:after="240"/>
        <w:ind w:left="0" w:right="0" w:firstLine="1440"/>
        <w:jc w:val="both"/>
        <w:rPr/>
      </w:pPr>
      <w:bookmarkStart w:id="412" w:name="i4a74917231b14531b45ef695cd144f88"/>
      <w:bookmarkEnd w:id="412"/>
      <w:r>
        <w:rPr>
          <w:rFonts w:ascii="Times New Roman;serif" w:hAnsi="Times New Roman;serif"/>
          <w:b w:val="false"/>
          <w:color w:val="000000"/>
          <w:sz w:val="22"/>
        </w:rPr>
        <w:t>(k)</w:t>
      </w:r>
      <w:r>
        <w:rPr>
          <w:rFonts w:ascii="Times New Roman;serif" w:hAnsi="Times New Roman;serif"/>
          <w:b w:val="false"/>
          <w:color w:val="000000"/>
          <w:sz w:val="22"/>
        </w:rPr>
        <w:t>Liens securing Incremental Equivalent Debt in accordance with the requirements of the definition of “Incremental Equivalent Debt”; and</w:t>
      </w:r>
    </w:p>
    <w:p>
      <w:pPr>
        <w:pStyle w:val="TextBody"/>
        <w:bidi w:val="0"/>
        <w:spacing w:lineRule="auto" w:line="240" w:before="0" w:after="240"/>
        <w:ind w:left="0" w:right="0" w:firstLine="1440"/>
        <w:jc w:val="both"/>
        <w:rPr/>
      </w:pPr>
      <w:bookmarkStart w:id="413" w:name="i7b6272c41e804d93bbcdc87e9d82d298"/>
      <w:bookmarkEnd w:id="413"/>
      <w:r>
        <w:rPr>
          <w:rFonts w:ascii="Times New Roman;serif" w:hAnsi="Times New Roman;serif"/>
          <w:b w:val="false"/>
          <w:color w:val="000000"/>
          <w:sz w:val="22"/>
        </w:rPr>
        <w:t>(l)</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 in the ordinary course of business.</w:t>
      </w:r>
    </w:p>
    <w:p>
      <w:pPr>
        <w:pStyle w:val="TextBody"/>
        <w:bidi w:val="0"/>
        <w:spacing w:lineRule="auto" w:line="240" w:before="0" w:after="240"/>
        <w:ind w:left="0" w:right="0" w:firstLine="720"/>
        <w:jc w:val="both"/>
        <w:rPr/>
      </w:pPr>
      <w:bookmarkStart w:id="414" w:name="i55d84e29aa404a7490a72aeb716cc66c"/>
      <w:bookmarkEnd w:id="414"/>
      <w:r>
        <w:rPr>
          <w:rFonts w:ascii="Times New Roman;serif" w:hAnsi="Times New Roman;serif"/>
          <w:b/>
          <w:color w:val="000000"/>
          <w:sz w:val="22"/>
        </w:rPr>
        <w:t>Section 7.3</w:t>
      </w:r>
      <w:r>
        <w:rPr>
          <w:rFonts w:ascii="Times New Roman;serif" w:hAnsi="Times New Roman;serif"/>
          <w:b/>
          <w:color w:val="000000"/>
          <w:sz w:val="22"/>
          <w:u w:val="single"/>
        </w:rPr>
        <w:t>Fundamental Changes</w:t>
      </w:r>
      <w:r>
        <w:rPr>
          <w:rFonts w:ascii="Times New Roman;serif" w:hAnsi="Times New Roman;serif"/>
          <w:b/>
          <w:color w:val="000000"/>
          <w:sz w:val="22"/>
        </w:rPr>
        <w:t>.</w:t>
      </w:r>
    </w:p>
    <w:p>
      <w:pPr>
        <w:pStyle w:val="TextBody"/>
        <w:bidi w:val="0"/>
        <w:spacing w:lineRule="auto" w:line="240" w:before="0" w:after="240"/>
        <w:ind w:left="0" w:right="0" w:firstLine="1440"/>
        <w:jc w:val="both"/>
        <w:rPr/>
      </w:pPr>
      <w:bookmarkStart w:id="415" w:name="i0eb3e436db694375aea9439166811d00"/>
      <w:bookmarkEnd w:id="415"/>
      <w:r>
        <w:rPr>
          <w:rFonts w:ascii="Times New Roman;serif" w:hAnsi="Times New Roman;serif"/>
          <w:b w:val="false"/>
          <w:color w:val="000000"/>
          <w:sz w:val="22"/>
        </w:rPr>
        <w:t>(a)</w:t>
      </w:r>
      <w:r>
        <w:rPr>
          <w:rFonts w:ascii="Times New Roman;serif" w:hAnsi="Times New Roman;serif"/>
          <w:b w:val="false"/>
          <w:color w:val="000000"/>
          <w:sz w:val="22"/>
        </w:rPr>
        <w:t xml:space="preserve">The Borrower will not, and will not permit any of its Subsidiaries to, merge into or consolidate into any other Person, or permit any other Person to merge into or consolidate with it, or sell, lease, transfer or otherwise dispose of (in a single transaction or a series of transactions) all or substantially all of the assets of the Borrower and its Subsidiaries on a consolidated basis (in each case, whether now owned or hereafter acquired) or all or substantially all of the stock of any of its Subsidiaries (in each case, whether now owned or hereafter acquired) or liquidate or dissolve;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the following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rFonts w:ascii="Times New Roman;serif" w:hAnsi="Times New Roman;serif"/>
          <w:b w:val="false"/>
          <w:color w:val="000000"/>
          <w:sz w:val="22"/>
        </w:rPr>
        <w:t>, if, at the time thereof and immediately after giving effect thereto, no Event of Default shall have occurred and be continuing:</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16" w:name="if25ac0f80d5341ebba6dd2c893f2a42d"/>
      <w:bookmarkEnd w:id="416"/>
      <w:r>
        <w:rPr>
          <w:rFonts w:ascii="Times New Roman;serif" w:hAnsi="Times New Roman;serif"/>
          <w:b w:val="false"/>
          <w:color w:val="000000"/>
          <w:sz w:val="22"/>
        </w:rPr>
        <w:t xml:space="preserve">(i)the Borrower or any Subsidiary may merge with a Person if the Borrower (or such Subsidiary if the Borrower is not a party to such merger) is the surviving Person, </w:t>
      </w:r>
    </w:p>
    <w:p>
      <w:pPr>
        <w:pStyle w:val="TextBody"/>
        <w:bidi w:val="0"/>
        <w:spacing w:lineRule="auto" w:line="240" w:before="0" w:after="240"/>
        <w:ind w:left="0" w:right="0" w:firstLine="1440"/>
        <w:jc w:val="both"/>
        <w:rPr/>
      </w:pPr>
      <w:bookmarkStart w:id="417" w:name="i2615d2a9b49d410e913371957e38cc16"/>
      <w:bookmarkEnd w:id="417"/>
      <w:r>
        <w:rPr>
          <w:rFonts w:ascii="Times New Roman;serif" w:hAnsi="Times New Roman;serif"/>
          <w:b w:val="false"/>
          <w:color w:val="000000"/>
          <w:sz w:val="22"/>
        </w:rPr>
        <w:t xml:space="preserve">(ii)any Subsidiary may merge into another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if any party to such merger is a Subsidiary Loan Party, a Subsidiary Loan Party shall be the surviving Person and (y) if any party to such merger is a domestic Subsidiary Loan Party, a domestic Subsidiary Loan Party shall be the surviving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036955"/>
                <wp:effectExtent l="0" t="0" r="0" b="0"/>
                <wp:wrapNone/>
                <wp:docPr id="239" name="Frame23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40" w:before="0" w:after="240"/>
        <w:ind w:left="0" w:right="0" w:firstLine="1440"/>
        <w:jc w:val="both"/>
        <w:rPr/>
      </w:pPr>
      <w:bookmarkStart w:id="418" w:name="iad3afda1e7b74cbe909f0986310f5692"/>
      <w:bookmarkEnd w:id="418"/>
      <w:r>
        <w:rPr>
          <w:rFonts w:ascii="Times New Roman;serif" w:hAnsi="Times New Roman;serif"/>
          <w:b w:val="false"/>
          <w:color w:val="000000"/>
          <w:sz w:val="22"/>
        </w:rPr>
        <w:t xml:space="preserve">(iii)any Subsidiary may sell, transfer, lease or otherwise dispose of all or substantially all of its assets to the Borrower or to a Subsidiary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Subsidiary is a Domestic Subsidiary, the assets of such Domestic Subsidiary shall be sold, transferred, leased or otherwise disposed of to the Borrower or to a domestic Subsidiary Loan Party, </w:t>
      </w:r>
    </w:p>
    <w:p>
      <w:pPr>
        <w:pStyle w:val="TextBody"/>
        <w:bidi w:val="0"/>
        <w:spacing w:lineRule="auto" w:line="240" w:before="0" w:after="240"/>
        <w:ind w:left="0" w:right="0" w:firstLine="1440"/>
        <w:jc w:val="both"/>
        <w:rPr/>
      </w:pPr>
      <w:bookmarkStart w:id="419" w:name="i56d391aaa5e04a81b651da9a649dbd8d"/>
      <w:bookmarkEnd w:id="419"/>
      <w:r>
        <w:rPr>
          <w:rFonts w:ascii="Times New Roman;serif" w:hAnsi="Times New Roman;serif"/>
          <w:b w:val="false"/>
          <w:color w:val="000000"/>
          <w:sz w:val="22"/>
        </w:rPr>
        <w:t xml:space="preserve">(iv)any Subsidiary may liquidate or dissolve if the Borrower determines in good faith that such liquidation or dissolution is in the best interests of the Borrower and is not materially disadvantageous to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if such Subsidiary is a Subsidiary Loan Party, the assets of such Subsidiary shall be distributed to the Borrower or a Subsidiary Loan Party and (y) if such Subsidiary is a domestic Subsidiary Loan Party, the assets of such Subsidiary shall be distributed to the Borrower or a domestic Subsidiary Loan Party,</w:t>
      </w:r>
    </w:p>
    <w:p>
      <w:pPr>
        <w:pStyle w:val="TextBody"/>
        <w:bidi w:val="0"/>
        <w:spacing w:lineRule="auto" w:line="240" w:before="0" w:after="240"/>
        <w:ind w:left="0" w:right="0" w:firstLine="1440"/>
        <w:jc w:val="both"/>
        <w:rPr/>
      </w:pPr>
      <w:bookmarkStart w:id="420" w:name="i510e19092b644990b5fb527fa57bb9d2"/>
      <w:bookmarkEnd w:id="420"/>
      <w:r>
        <w:rPr>
          <w:rFonts w:ascii="Times New Roman;serif" w:hAnsi="Times New Roman;serif"/>
          <w:b w:val="false"/>
          <w:color w:val="000000"/>
          <w:sz w:val="22"/>
        </w:rPr>
        <w:t xml:space="preserve">(v)subject to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any Subsidiary may merge, dissolve or consolidate in connection with the consummation of any Permitted Acquisition or a disposition permitted by </w:t>
      </w:r>
      <w:r>
        <w:rPr>
          <w:rFonts w:ascii="Times New Roman;serif" w:hAnsi="Times New Roman;serif"/>
          <w:b w:val="false"/>
          <w:color w:val="000000"/>
          <w:sz w:val="22"/>
          <w:u w:val="single"/>
        </w:rPr>
        <w:t>Section 7.6</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21" w:name="i2fdc38f92c6649df8b9fa645e27641f6"/>
      <w:bookmarkEnd w:id="421"/>
      <w:r>
        <w:rPr>
          <w:rFonts w:ascii="Times New Roman;serif" w:hAnsi="Times New Roman;serif"/>
          <w:b w:val="false"/>
          <w:color w:val="000000"/>
          <w:sz w:val="22"/>
        </w:rPr>
        <w:t xml:space="preserve">(vi)any Subsidiary that is not a Loan Party may sell, transfer, lease or otherwise dispose of all or substantially all of its assets to the Borrower or another Subsidiary of the Borrower, </w:t>
      </w:r>
    </w:p>
    <w:p>
      <w:pPr>
        <w:pStyle w:val="TextBody"/>
        <w:bidi w:val="0"/>
        <w:spacing w:lineRule="auto" w:line="288" w:before="0" w:after="240"/>
        <w:jc w:val="both"/>
        <w:rPr/>
      </w:pPr>
      <w:bookmarkStart w:id="422" w:name="ibd58a52790ca4dec9caba78d9c0e2e02"/>
      <w:bookmarkEnd w:id="422"/>
      <w:r>
        <w:rPr>
          <w:rFonts w:ascii="Times New Roman;serif" w:hAnsi="Times New Roman;serif"/>
          <w:b w:val="false"/>
          <w:color w:val="000000"/>
          <w:sz w:val="24"/>
        </w:rPr>
        <w:t>(vii)</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such merger involving a Person that is not a Wholly-Owned Subsidiary immediately prior to such merger shall not be permitted unless also permitted by </w:t>
      </w:r>
      <w:r>
        <w:rPr>
          <w:rFonts w:ascii="Times New Roman;serif" w:hAnsi="Times New Roman;serif"/>
          <w:b w:val="false"/>
          <w:color w:val="000000"/>
          <w:sz w:val="22"/>
          <w:u w:val="single"/>
        </w:rPr>
        <w:t>Section 7.4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423" w:name="icfa4b34a72ce4e6cb4c10480ef6ae86c"/>
      <w:bookmarkEnd w:id="423"/>
      <w:r>
        <w:rPr>
          <w:rFonts w:ascii="Times New Roman;serif" w:hAnsi="Times New Roman;serif"/>
          <w:b w:val="false"/>
          <w:color w:val="000000"/>
          <w:sz w:val="22"/>
        </w:rPr>
        <w:t>(b)</w:t>
      </w:r>
      <w:r>
        <w:rPr>
          <w:rFonts w:ascii="Times New Roman;serif" w:hAnsi="Times New Roman;serif"/>
          <w:b w:val="false"/>
          <w:color w:val="000000"/>
          <w:sz w:val="22"/>
        </w:rPr>
        <w:t>The Borrower will not, and will not permit any of its Subsidiaries to, engage in any business other than businesses of the type conducted by the Borrower and its Subsidiaries on the Closing Date and businesses reasonably related or ancillary thereto.</w:t>
      </w:r>
    </w:p>
    <w:p>
      <w:pPr>
        <w:pStyle w:val="TextBody"/>
        <w:bidi w:val="0"/>
        <w:spacing w:lineRule="auto" w:line="240" w:before="0" w:after="0"/>
        <w:ind w:left="0" w:right="0" w:firstLine="720"/>
        <w:jc w:val="both"/>
        <w:rPr/>
      </w:pPr>
      <w:bookmarkStart w:id="424" w:name="i2a4cf4d304a74beda0f8b94103c7c52e"/>
      <w:bookmarkEnd w:id="424"/>
      <w:r>
        <w:rPr>
          <w:rFonts w:ascii="Times New Roman;serif" w:hAnsi="Times New Roman;serif"/>
          <w:b/>
          <w:color w:val="000000"/>
          <w:sz w:val="22"/>
        </w:rPr>
        <w:t>Section 7.4</w:t>
      </w:r>
      <w:r>
        <w:rPr>
          <w:rFonts w:ascii="Times New Roman;serif" w:hAnsi="Times New Roman;serif"/>
          <w:b/>
          <w:color w:val="000000"/>
          <w:sz w:val="22"/>
          <w:u w:val="single"/>
        </w:rPr>
        <w:t>Investments, Loans</w:t>
      </w:r>
      <w:r>
        <w:rPr>
          <w:rFonts w:ascii="Times New Roman;serif" w:hAnsi="Times New Roman;serif"/>
          <w:b w:val="false"/>
          <w:color w:val="000000"/>
          <w:sz w:val="22"/>
        </w:rPr>
        <w:t>. The Borrower will not, and will not permit any of its Subsidiaries to, purchase, hold or acquire (including pursuant to any merger with any Person that was not a Wholly-Owned Subsidiary prior to such merger) any Capital Stock, evidence of Indebtedness or other securities (including any option, warrant, or other right to acquire any of the foregoing) of, make or permit to exist any capital contributions, loans or advances to, Guarantee any obligations of, any other Person, or consummate an Acquisition (all of the foregoing being collectively called “</w:t>
      </w:r>
      <w:r>
        <w:rPr>
          <w:rFonts w:ascii="Times New Roman;serif" w:hAnsi="Times New Roman;serif"/>
          <w:b w:val="false"/>
          <w:color w:val="000000"/>
          <w:sz w:val="22"/>
          <w:u w:val="single"/>
        </w:rPr>
        <w:t>Investments</w:t>
      </w:r>
      <w:r>
        <w:rPr>
          <w:color w:val="000000"/>
        </w:rPr>
        <w:t>”</w:t>
      </w:r>
      <w:r>
        <w:rPr>
          <w:rFonts w:ascii="Times New Roman;serif" w:hAnsi="Times New Roman;serif"/>
          <w:b w:val="false"/>
          <w:color w:val="000000"/>
          <w:sz w:val="22"/>
        </w:rPr>
        <w:t>), except:</w:t>
      </w:r>
    </w:p>
    <w:p>
      <w:pPr>
        <w:pStyle w:val="TextBody"/>
        <w:bidi w:val="0"/>
        <w:spacing w:lineRule="auto" w:line="240" w:before="0" w:after="240"/>
        <w:ind w:left="0" w:right="0" w:firstLine="1440"/>
        <w:jc w:val="both"/>
        <w:rPr/>
      </w:pPr>
      <w:bookmarkStart w:id="425" w:name="i4d0fc49f75a44a108286f96501627de8"/>
      <w:bookmarkEnd w:id="425"/>
      <w:r>
        <w:rPr>
          <w:rFonts w:ascii="Times New Roman;serif" w:hAnsi="Times New Roman;serif"/>
          <w:b w:val="false"/>
          <w:color w:val="000000"/>
          <w:sz w:val="22"/>
        </w:rPr>
        <w:t>(a)</w:t>
      </w:r>
      <w:r>
        <w:rPr>
          <w:rFonts w:ascii="Times New Roman;serif" w:hAnsi="Times New Roman;serif"/>
          <w:b w:val="false"/>
          <w:color w:val="000000"/>
          <w:sz w:val="22"/>
        </w:rPr>
        <w:t xml:space="preserve">Investments (other than Permitted Investments) existing as of the Closing Date (including Investments in Subsidiaries) and set forth on </w:t>
      </w:r>
      <w:r>
        <w:rPr>
          <w:rFonts w:ascii="Times New Roman;serif" w:hAnsi="Times New Roman;serif"/>
          <w:b w:val="false"/>
          <w:color w:val="000000"/>
          <w:sz w:val="22"/>
          <w:u w:val="single"/>
        </w:rPr>
        <w:t>Schedule 7.4</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426" w:name="i1a335b5112d142129c33d7388bed4f6a"/>
      <w:bookmarkEnd w:id="426"/>
      <w:r>
        <w:rPr>
          <w:rFonts w:ascii="Times New Roman;serif" w:hAnsi="Times New Roman;serif"/>
          <w:b w:val="false"/>
          <w:color w:val="000000"/>
          <w:sz w:val="22"/>
        </w:rPr>
        <w:t>(b)</w:t>
      </w:r>
      <w:r>
        <w:rPr>
          <w:rFonts w:ascii="Times New Roman;serif" w:hAnsi="Times New Roman;serif"/>
          <w:b w:val="false"/>
          <w:color w:val="000000"/>
          <w:sz w:val="22"/>
        </w:rPr>
        <w:t>Permitted Investments;</w:t>
      </w:r>
    </w:p>
    <w:p>
      <w:pPr>
        <w:pStyle w:val="TextBody"/>
        <w:bidi w:val="0"/>
        <w:spacing w:lineRule="auto" w:line="240" w:before="0" w:after="240"/>
        <w:ind w:left="0" w:right="0" w:firstLine="1440"/>
        <w:jc w:val="both"/>
        <w:rPr/>
      </w:pPr>
      <w:bookmarkStart w:id="427" w:name="i8caceb4f57174b8d8a2a9319c2b42470"/>
      <w:bookmarkEnd w:id="427"/>
      <w:r>
        <w:rPr>
          <w:rFonts w:ascii="Times New Roman;serif" w:hAnsi="Times New Roman;serif"/>
          <w:b w:val="false"/>
          <w:color w:val="000000"/>
          <w:sz w:val="22"/>
        </w:rPr>
        <w:t>(c)</w:t>
      </w:r>
      <w:r>
        <w:rPr>
          <w:rFonts w:ascii="Times New Roman;serif" w:hAnsi="Times New Roman;serif"/>
          <w:b w:val="false"/>
          <w:color w:val="000000"/>
          <w:sz w:val="22"/>
        </w:rPr>
        <w:t xml:space="preserve">Guarantees by the Borrower and its Subsidiaries constituting Indebtedness permitted by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principal amount of Indebtedness of Subsidiaries that are not Subsidiary Loan Parties that is Guaranteed by any Loan Party shall be subject to the limitation set forth in subsection (d) of this Section;</w:t>
      </w:r>
    </w:p>
    <w:p>
      <w:pPr>
        <w:pStyle w:val="TextBody"/>
        <w:bidi w:val="0"/>
        <w:spacing w:lineRule="auto" w:line="240" w:before="0" w:after="240"/>
        <w:ind w:left="0" w:right="0" w:firstLine="1440"/>
        <w:jc w:val="both"/>
        <w:rPr/>
      </w:pPr>
      <w:bookmarkStart w:id="428" w:name="ib06b01cc0ab6484e8d2f166ab8b09119"/>
      <w:bookmarkEnd w:id="428"/>
      <w:r>
        <w:rPr>
          <w:rFonts w:ascii="Times New Roman;serif" w:hAnsi="Times New Roman;serif"/>
          <w:b w:val="false"/>
          <w:color w:val="000000"/>
          <w:sz w:val="22"/>
        </w:rPr>
        <w:t>(d)</w:t>
      </w:r>
      <w:r>
        <w:rPr>
          <w:rFonts w:ascii="Times New Roman;serif" w:hAnsi="Times New Roman;serif"/>
          <w:b w:val="false"/>
          <w:color w:val="000000"/>
          <w:sz w:val="22"/>
        </w:rPr>
        <w:t xml:space="preserve">Investments made by the Borrower in or to any Subsidiary and by any Subsidiary to the Borrower or in or to another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outstanding amount of Investments by the Loan Parties in or to, and any Guarantees by the Loan Parties of Indebtedness of, any Subsidiary that is not a Subsidiary Loan Party pursuant to this </w:t>
      </w:r>
      <w:r>
        <w:rPr>
          <w:rFonts w:ascii="Times New Roman;serif" w:hAnsi="Times New Roman;serif"/>
          <w:b w:val="false"/>
          <w:color w:val="000000"/>
          <w:sz w:val="22"/>
          <w:u w:val="single"/>
        </w:rPr>
        <w:t>Section 7.4(d)</w:t>
      </w:r>
      <w:r>
        <w:rPr>
          <w:color w:val="000000"/>
        </w:rPr>
        <w:t xml:space="preserve"> </w:t>
      </w:r>
      <w:r>
        <w:rPr>
          <w:rFonts w:ascii="Times New Roman;serif" w:hAnsi="Times New Roman;serif"/>
          <w:b w:val="false"/>
          <w:color w:val="000000"/>
          <w:sz w:val="22"/>
        </w:rPr>
        <w:t xml:space="preserve">shall not at any time exceed, together with (i) the aggregate amount of cash consideration paid or payable in respect of Permitted Acquisitions of Persons that do not become Loan Parties or assets that do not become owned by Loan Parties and (ii) the aggregate outstanding amount of Investments by the Loan Parties in the Capital Stock of a Person that does not result in such Person becoming a “Subsidiary” of any Loan Party pursuant to </w:t>
      </w:r>
      <w:r>
        <w:rPr>
          <w:rFonts w:ascii="Times New Roman;serif" w:hAnsi="Times New Roman;serif"/>
          <w:b w:val="false"/>
          <w:color w:val="000000"/>
          <w:sz w:val="22"/>
          <w:u w:val="single"/>
        </w:rPr>
        <w:t>Section 7.4(u)</w:t>
      </w:r>
      <w:r>
        <w:rPr>
          <w:rFonts w:ascii="Times New Roman;serif" w:hAnsi="Times New Roman;serif"/>
          <w:b w:val="false"/>
          <w:color w:val="000000"/>
          <w:sz w:val="22"/>
        </w:rPr>
        <w:t>, the greater of (x) 20% of Consolidated EBITDA for the most recently ended Test Period (calculated on a Pro Forma Basis) and (y) $88,000,000 at any time outstanding;</w:t>
      </w:r>
    </w:p>
    <w:p>
      <w:pPr>
        <w:pStyle w:val="TextBody"/>
        <w:bidi w:val="0"/>
        <w:spacing w:lineRule="auto" w:line="240" w:before="0" w:after="240"/>
        <w:ind w:left="0" w:right="0" w:firstLine="1440"/>
        <w:jc w:val="both"/>
        <w:rPr/>
      </w:pPr>
      <w:bookmarkStart w:id="429" w:name="ic65deadb52274880aacadff704f3c350"/>
      <w:bookmarkEnd w:id="429"/>
      <w:r>
        <w:rPr>
          <w:rFonts w:ascii="Times New Roman;serif" w:hAnsi="Times New Roman;serif"/>
          <w:b w:val="false"/>
          <w:color w:val="000000"/>
          <w:sz w:val="22"/>
        </w:rPr>
        <w:t>(e)</w:t>
      </w:r>
      <w:r>
        <w:rPr>
          <w:rFonts w:ascii="Times New Roman;serif" w:hAnsi="Times New Roman;serif"/>
          <w:b w:val="false"/>
          <w:color w:val="000000"/>
          <w:sz w:val="22"/>
        </w:rPr>
        <w:t xml:space="preserve">loans or advances to employees, officers or directors of the Borrower or any of its Subsidiaries in the ordinary course of business for travel, relocation and related expenses;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036955"/>
                <wp:effectExtent l="0" t="0" r="0" b="0"/>
                <wp:wrapNone/>
                <wp:docPr id="240" name="Frame23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aggregate amount of all such loans and advances does not exceed $10,000,000 at any time outstanding;</w:t>
      </w:r>
    </w:p>
    <w:p>
      <w:pPr>
        <w:pStyle w:val="TextBody"/>
        <w:bidi w:val="0"/>
        <w:spacing w:lineRule="auto" w:line="240" w:before="0" w:after="240"/>
        <w:ind w:left="0" w:right="0" w:firstLine="1440"/>
        <w:jc w:val="both"/>
        <w:rPr/>
      </w:pPr>
      <w:bookmarkStart w:id="430" w:name="i064630eb05a6465396737bba47aae11b"/>
      <w:bookmarkEnd w:id="430"/>
      <w:r>
        <w:rPr>
          <w:rFonts w:ascii="Times New Roman;serif" w:hAnsi="Times New Roman;serif"/>
          <w:b w:val="false"/>
          <w:color w:val="000000"/>
          <w:sz w:val="22"/>
        </w:rPr>
        <w:t>(f)</w:t>
      </w:r>
      <w:r>
        <w:rPr>
          <w:rFonts w:ascii="Times New Roman;serif" w:hAnsi="Times New Roman;serif"/>
          <w:b w:val="false"/>
          <w:color w:val="000000"/>
          <w:sz w:val="22"/>
        </w:rPr>
        <w:t xml:space="preserve">Hedging Transactions permitted by </w:t>
      </w:r>
      <w:r>
        <w:rPr>
          <w:rFonts w:ascii="Times New Roman;serif" w:hAnsi="Times New Roman;serif"/>
          <w:b w:val="false"/>
          <w:color w:val="000000"/>
          <w:sz w:val="22"/>
          <w:u w:val="single"/>
        </w:rPr>
        <w:t>Section 7.10</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431" w:name="i63a567eec2b2436180862d4ea80ce625"/>
      <w:bookmarkEnd w:id="431"/>
      <w:r>
        <w:rPr>
          <w:rFonts w:ascii="Times New Roman;serif" w:hAnsi="Times New Roman;serif"/>
          <w:b w:val="false"/>
          <w:color w:val="000000"/>
          <w:sz w:val="22"/>
        </w:rPr>
        <w:t>(g)</w:t>
      </w:r>
      <w:r>
        <w:rPr>
          <w:rFonts w:ascii="Times New Roman;serif" w:hAnsi="Times New Roman;serif"/>
          <w:b w:val="false"/>
          <w:color w:val="000000"/>
          <w:sz w:val="22"/>
        </w:rPr>
        <w:t xml:space="preserve">repurchases or redemptions of Indebtedness not prohibited under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or acquisitions of Permitted Convertible Indebtedness deemed to occur upon conversions of Permitted Convertible Indebtedness pursuant to, and in accordance with the terms of, such Permitted Convertible Indebtedness;</w:t>
      </w:r>
    </w:p>
    <w:p>
      <w:pPr>
        <w:pStyle w:val="TextBody"/>
        <w:bidi w:val="0"/>
        <w:spacing w:lineRule="auto" w:line="240" w:before="0" w:after="240"/>
        <w:ind w:left="0" w:right="0" w:firstLine="1440"/>
        <w:jc w:val="both"/>
        <w:rPr/>
      </w:pPr>
      <w:bookmarkStart w:id="432" w:name="i96b3dbb10c984fa6b663a83e79bc40f9"/>
      <w:bookmarkEnd w:id="432"/>
      <w:r>
        <w:rPr>
          <w:rFonts w:ascii="Times New Roman;serif" w:hAnsi="Times New Roman;serif"/>
          <w:b w:val="false"/>
          <w:color w:val="000000"/>
          <w:sz w:val="22"/>
        </w:rPr>
        <w:t>(h)</w:t>
      </w:r>
      <w:r>
        <w:rPr>
          <w:rFonts w:ascii="Times New Roman;serif" w:hAnsi="Times New Roman;serif"/>
          <w:b w:val="false"/>
          <w:color w:val="000000"/>
          <w:sz w:val="22"/>
        </w:rPr>
        <w:t>[reserved];</w:t>
      </w:r>
      <w:r>
        <w:rPr>
          <w:color w:val="000000"/>
        </w:rPr>
        <w:t xml:space="preserve"> </w:t>
      </w:r>
    </w:p>
    <w:p>
      <w:pPr>
        <w:pStyle w:val="TextBody"/>
        <w:bidi w:val="0"/>
        <w:spacing w:lineRule="auto" w:line="240" w:before="0" w:after="240"/>
        <w:ind w:left="0" w:right="0" w:firstLine="1440"/>
        <w:jc w:val="both"/>
        <w:rPr/>
      </w:pPr>
      <w:bookmarkStart w:id="433" w:name="ie4c6ff4e37fb44e79bfc6c76f56b12ea"/>
      <w:bookmarkEnd w:id="433"/>
      <w:r>
        <w:rPr>
          <w:rFonts w:ascii="Times New Roman;serif" w:hAnsi="Times New Roman;serif"/>
          <w:b w:val="false"/>
          <w:color w:val="000000"/>
          <w:sz w:val="22"/>
        </w:rPr>
        <w:t>(i)</w:t>
      </w:r>
      <w:r>
        <w:rPr>
          <w:rFonts w:ascii="Times New Roman;serif" w:hAnsi="Times New Roman;serif"/>
          <w:b w:val="false"/>
          <w:color w:val="000000"/>
          <w:sz w:val="22"/>
        </w:rPr>
        <w:t xml:space="preserve">Permitted Acquisitions; </w:t>
      </w:r>
    </w:p>
    <w:p>
      <w:pPr>
        <w:pStyle w:val="TextBody"/>
        <w:bidi w:val="0"/>
        <w:spacing w:lineRule="auto" w:line="240" w:before="0" w:after="240"/>
        <w:ind w:left="0" w:right="0" w:firstLine="1440"/>
        <w:jc w:val="both"/>
        <w:rPr/>
      </w:pPr>
      <w:bookmarkStart w:id="434" w:name="ia5f4f0ce3ca1454da048074d1601b573"/>
      <w:bookmarkEnd w:id="434"/>
      <w:r>
        <w:rPr>
          <w:rFonts w:ascii="Times New Roman;serif" w:hAnsi="Times New Roman;serif"/>
          <w:b w:val="false"/>
          <w:color w:val="000000"/>
          <w:sz w:val="22"/>
        </w:rPr>
        <w:t>(j)</w:t>
      </w:r>
      <w:r>
        <w:rPr>
          <w:rFonts w:ascii="Times New Roman;serif" w:hAnsi="Times New Roman;serif"/>
          <w:b w:val="false"/>
          <w:color w:val="000000"/>
          <w:sz w:val="22"/>
        </w:rPr>
        <w:t xml:space="preserve">to the extent constituting an Investment, any Permitted Equity Derivative, including the payment of customary premiums which are reasonable in amount (as reasonably determined in good faith by the Borrower) in connection therewith; </w:t>
      </w:r>
    </w:p>
    <w:p>
      <w:pPr>
        <w:pStyle w:val="TextBody"/>
        <w:bidi w:val="0"/>
        <w:spacing w:lineRule="auto" w:line="240" w:before="0" w:after="240"/>
        <w:ind w:left="0" w:right="0" w:firstLine="1440"/>
        <w:jc w:val="both"/>
        <w:rPr/>
      </w:pPr>
      <w:bookmarkStart w:id="435" w:name="id2f5a02354074502965e48c3c7eac740"/>
      <w:bookmarkEnd w:id="435"/>
      <w:r>
        <w:rPr>
          <w:rFonts w:ascii="Times New Roman;serif" w:hAnsi="Times New Roman;serif"/>
          <w:b w:val="false"/>
          <w:color w:val="000000"/>
          <w:sz w:val="22"/>
        </w:rPr>
        <w:t>(k)</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436" w:name="ifa27a4ee3f3f4db0861f52119aa97d02"/>
      <w:bookmarkEnd w:id="436"/>
      <w:r>
        <w:rPr>
          <w:rFonts w:ascii="Times New Roman;serif" w:hAnsi="Times New Roman;serif"/>
          <w:b w:val="false"/>
          <w:color w:val="000000"/>
          <w:sz w:val="22"/>
        </w:rPr>
        <w:t>(l)</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437" w:name="i716a5081355f43f2a8af12e2afa54946"/>
      <w:bookmarkEnd w:id="437"/>
      <w:r>
        <w:rPr>
          <w:rFonts w:ascii="Times New Roman;serif" w:hAnsi="Times New Roman;serif"/>
          <w:b w:val="false"/>
          <w:color w:val="000000"/>
          <w:sz w:val="22"/>
        </w:rPr>
        <w:t>(m)</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38" w:name="i065590ffbf934c1a892c6f415d379dc5"/>
      <w:bookmarkEnd w:id="438"/>
      <w:r>
        <w:rPr>
          <w:rFonts w:ascii="Times New Roman;serif" w:hAnsi="Times New Roman;serif"/>
          <w:b w:val="false"/>
          <w:color w:val="000000"/>
          <w:sz w:val="22"/>
        </w:rPr>
        <w:t>(n)</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39" w:name="i2a02d5b13f744e27b48c61266143a17a"/>
      <w:bookmarkEnd w:id="439"/>
      <w:r>
        <w:rPr>
          <w:rFonts w:ascii="Times New Roman;serif" w:hAnsi="Times New Roman;serif"/>
          <w:b w:val="false"/>
          <w:color w:val="000000"/>
          <w:sz w:val="22"/>
        </w:rPr>
        <w:t>(o)</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440" w:name="i828164c12eb449f781da7588e37f2887"/>
      <w:bookmarkEnd w:id="440"/>
      <w:r>
        <w:rPr>
          <w:rFonts w:ascii="Times New Roman;serif" w:hAnsi="Times New Roman;serif"/>
          <w:b w:val="false"/>
          <w:color w:val="000000"/>
          <w:sz w:val="22"/>
        </w:rPr>
        <w:t>(p)</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441" w:name="i954a2a10a7bf4a2ea014327f7418034b"/>
      <w:bookmarkEnd w:id="441"/>
      <w:r>
        <w:rPr>
          <w:rFonts w:ascii="Times New Roman;serif" w:hAnsi="Times New Roman;serif"/>
          <w:b w:val="false"/>
          <w:color w:val="000000"/>
          <w:sz w:val="22"/>
        </w:rPr>
        <w:t>(q)</w:t>
      </w:r>
      <w:r>
        <w:rPr>
          <w:rFonts w:ascii="Times New Roman;serif" w:hAnsi="Times New Roman;serif"/>
          <w:b w:val="false"/>
          <w:color w:val="000000"/>
          <w:sz w:val="22"/>
        </w:rPr>
        <w:t xml:space="preserve">to the extent constituting Investments, advances in respect of transfer pricing or cost-sharing arrangements (i.e., “cost-plus” arrangements) in the ordinary course of business; </w:t>
      </w:r>
    </w:p>
    <w:p>
      <w:pPr>
        <w:pStyle w:val="TextBody"/>
        <w:bidi w:val="0"/>
        <w:spacing w:lineRule="auto" w:line="240" w:before="0" w:after="240"/>
        <w:ind w:left="0" w:right="0" w:firstLine="1440"/>
        <w:jc w:val="both"/>
        <w:rPr/>
      </w:pPr>
      <w:bookmarkStart w:id="442" w:name="ifcc7ddb55b2d40c28a1c8bc4646ba110"/>
      <w:bookmarkEnd w:id="442"/>
      <w:r>
        <w:rPr>
          <w:rFonts w:ascii="Times New Roman;serif" w:hAnsi="Times New Roman;serif"/>
          <w:b w:val="false"/>
          <w:color w:val="000000"/>
          <w:sz w:val="22"/>
        </w:rPr>
        <w:t>(r)</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43" w:name="i148e3917569747e491aa85d501438282"/>
      <w:bookmarkEnd w:id="443"/>
      <w:r>
        <w:rPr>
          <w:rFonts w:ascii="Times New Roman;serif" w:hAnsi="Times New Roman;serif"/>
          <w:b w:val="false"/>
          <w:color w:val="000000"/>
          <w:sz w:val="22"/>
        </w:rPr>
        <w:t>(s)</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44" w:name="ic30944603372455da6c9a5492cddcc3f"/>
      <w:bookmarkEnd w:id="444"/>
      <w:r>
        <w:rPr>
          <w:rFonts w:ascii="Times New Roman;serif" w:hAnsi="Times New Roman;serif"/>
          <w:b w:val="false"/>
          <w:color w:val="000000"/>
          <w:sz w:val="22"/>
        </w:rPr>
        <w:t>(t)</w:t>
      </w:r>
      <w:r>
        <w:rPr>
          <w:rFonts w:ascii="Times New Roman;serif" w:hAnsi="Times New Roman;serif"/>
          <w:b w:val="false"/>
          <w:color w:val="000000"/>
          <w:sz w:val="22"/>
        </w:rPr>
        <w:t xml:space="preserve">other Investments which do not exceed the greater of (x) 30% of Consolidated EBITDA for the most recently ended Test Period (calculated on a Pro Forma Basis) and (y) $132,000,000 in the aggregate amount at any time outstanding; </w:t>
      </w:r>
    </w:p>
    <w:p>
      <w:pPr>
        <w:pStyle w:val="TextBody"/>
        <w:bidi w:val="0"/>
        <w:spacing w:lineRule="auto" w:line="240" w:before="0" w:after="240"/>
        <w:ind w:left="0" w:right="0" w:firstLine="1440"/>
        <w:jc w:val="both"/>
        <w:rPr/>
      </w:pPr>
      <w:bookmarkStart w:id="445" w:name="i4a13defc7c9a42cc983731fe5b8eb7d6"/>
      <w:bookmarkEnd w:id="445"/>
      <w:r>
        <w:rPr>
          <w:rFonts w:ascii="Times New Roman;serif" w:hAnsi="Times New Roman;serif"/>
          <w:b w:val="false"/>
          <w:color w:val="000000"/>
          <w:sz w:val="22"/>
        </w:rPr>
        <w:t>(u)</w:t>
      </w:r>
      <w:r>
        <w:rPr>
          <w:rFonts w:ascii="Times New Roman;serif" w:hAnsi="Times New Roman;serif"/>
          <w:b w:val="false"/>
          <w:color w:val="000000"/>
          <w:sz w:val="22"/>
        </w:rPr>
        <w:t xml:space="preserve">Investments by a Loan Party in the Capital Stock of a Person that does not result in such Person becoming a “Subsidiary” of any Loan Party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 xml:space="preserve">(i) before and after giving effect to any such Investment, no Event of Default has occurred and is continuing and (ii) the aggregate amount of such Investments does not exceed, together with (i) the aggregate amount of cash consideration paid or payable in respect of Permitted Acquisitions of Persons that do not become Loan Parties or assets that do not become owned by Loan Parties and (ii) the aggregate outstanding amount of Investments by the Loan Parties in or to any Subsidiary that is not a Subsidiary Loan Party pursuant to </w:t>
      </w:r>
      <w:r>
        <w:rPr>
          <w:rFonts w:ascii="Times New Roman;serif" w:hAnsi="Times New Roman;serif"/>
          <w:b w:val="false"/>
          <w:color w:val="000000"/>
          <w:sz w:val="22"/>
          <w:u w:val="single"/>
        </w:rPr>
        <w:t>Section 7.4(d)</w:t>
      </w:r>
      <w:r>
        <w:rPr>
          <w:rFonts w:ascii="Times New Roman;serif" w:hAnsi="Times New Roman;serif"/>
          <w:b w:val="false"/>
          <w:color w:val="000000"/>
          <w:sz w:val="22"/>
        </w:rPr>
        <w:t xml:space="preserve">, the greater of (x) 20% of Consolidated EBITDA for the most recently ended Test Period (calculated on a Pro Forma Basis) and (y) $88,000,000 at any time outstanding; </w:t>
      </w:r>
    </w:p>
    <w:p>
      <w:pPr>
        <w:pStyle w:val="TextBody"/>
        <w:bidi w:val="0"/>
        <w:spacing w:lineRule="auto" w:line="240" w:before="0" w:after="240"/>
        <w:ind w:left="0" w:right="0" w:firstLine="1440"/>
        <w:jc w:val="both"/>
        <w:rPr/>
      </w:pPr>
      <w:bookmarkStart w:id="446" w:name="ia28bdbe97c5045f5bfd1a19a1dfa7fac"/>
      <w:bookmarkEnd w:id="446"/>
      <w:r>
        <w:rPr>
          <w:rFonts w:ascii="Times New Roman;serif" w:hAnsi="Times New Roman;serif"/>
          <w:b w:val="false"/>
          <w:color w:val="000000"/>
          <w:sz w:val="22"/>
        </w:rPr>
        <w:t>(v)</w:t>
      </w:r>
      <w:r>
        <w:rPr>
          <w:rFonts w:ascii="Times New Roman;serif" w:hAnsi="Times New Roman;serif"/>
          <w:b w:val="false"/>
          <w:color w:val="000000"/>
          <w:sz w:val="22"/>
        </w:rPr>
        <w:t xml:space="preserve">Investments </w:t>
      </w:r>
      <w:r>
        <w:rPr>
          <w:rFonts w:ascii="Times New Roman;serif" w:hAnsi="Times New Roman;serif"/>
          <w:b w:val="false"/>
          <w:color w:val="000000"/>
          <w:sz w:val="22"/>
          <w:u w:val="single"/>
        </w:rPr>
        <w:t>so long as</w:t>
      </w:r>
      <w:r>
        <w:rPr>
          <w:rFonts w:ascii="Times New Roman;serif" w:hAnsi="Times New Roman;serif"/>
          <w:b w:val="false"/>
          <w:color w:val="000000"/>
          <w:sz w:val="22"/>
        </w:rPr>
        <w:t xml:space="preserve">, after giving effect to the proposed Investment on a Pro Forma Basis, the Consolidated Total Net Leverage Ratio is less than 3.50:1.00; </w:t>
      </w:r>
    </w:p>
    <w:p>
      <w:pPr>
        <w:pStyle w:val="TextBody"/>
        <w:bidi w:val="0"/>
        <w:spacing w:lineRule="auto" w:line="240" w:before="0" w:after="240"/>
        <w:ind w:left="0" w:right="0" w:firstLine="1440"/>
        <w:jc w:val="both"/>
        <w:rPr/>
      </w:pPr>
      <w:bookmarkStart w:id="447" w:name="i88e0f459834844db848d5e7438bcf341"/>
      <w:bookmarkEnd w:id="447"/>
      <w:r>
        <w:rPr>
          <w:rFonts w:ascii="Times New Roman;serif" w:hAnsi="Times New Roman;serif"/>
          <w:b w:val="false"/>
          <w:color w:val="000000"/>
          <w:sz w:val="22"/>
        </w:rPr>
        <w:t>(w)</w:t>
      </w:r>
      <w:r>
        <w:rPr>
          <w:rFonts w:ascii="Times New Roman;serif" w:hAnsi="Times New Roman;serif"/>
          <w:b w:val="false"/>
          <w:color w:val="000000"/>
          <w:sz w:val="22"/>
        </w:rPr>
        <w:t>so long as no Event of Default then exists or would result therefrom, Investments made using the Available Amount;</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036955"/>
                <wp:effectExtent l="0" t="0" r="0" b="0"/>
                <wp:wrapNone/>
                <wp:docPr id="241" name="Frame23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40" w:before="0" w:after="240"/>
        <w:ind w:left="0" w:right="0" w:firstLine="1440"/>
        <w:jc w:val="both"/>
        <w:rPr/>
      </w:pPr>
      <w:bookmarkStart w:id="448" w:name="iefae0c819c114aec98a69b04fadac742"/>
      <w:bookmarkEnd w:id="448"/>
      <w:r>
        <w:rPr>
          <w:rFonts w:ascii="Times New Roman;serif" w:hAnsi="Times New Roman;serif"/>
          <w:b w:val="false"/>
          <w:color w:val="000000"/>
          <w:sz w:val="22"/>
        </w:rPr>
        <w:t>(x)</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49" w:name="i1c0d0d3bb3374f9eb2999832cae6b4ea"/>
      <w:bookmarkEnd w:id="449"/>
      <w:r>
        <w:rPr>
          <w:rFonts w:ascii="Times New Roman;serif" w:hAnsi="Times New Roman;serif"/>
          <w:b w:val="false"/>
          <w:color w:val="000000"/>
          <w:sz w:val="22"/>
        </w:rPr>
        <w:t>(y)</w:t>
      </w:r>
      <w:r>
        <w:rPr>
          <w:rFonts w:ascii="Times New Roman;serif" w:hAnsi="Times New Roman;serif"/>
          <w:b w:val="false"/>
          <w:color w:val="000000"/>
          <w:sz w:val="22"/>
        </w:rPr>
        <w:t xml:space="preserve">promissory notes and other non-cash consideration received in connection with asset dispositions permitted by </w:t>
      </w:r>
      <w:r>
        <w:rPr>
          <w:rFonts w:ascii="Times New Roman;serif" w:hAnsi="Times New Roman;serif"/>
          <w:b w:val="false"/>
          <w:color w:val="000000"/>
          <w:sz w:val="22"/>
          <w:u w:val="single"/>
        </w:rPr>
        <w:t>Section 7.6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450" w:name="ia14cec71771444bebaf5fc82c3057b93"/>
      <w:bookmarkEnd w:id="450"/>
      <w:r>
        <w:rPr>
          <w:rFonts w:ascii="Times New Roman;serif" w:hAnsi="Times New Roman;serif"/>
          <w:b w:val="false"/>
          <w:color w:val="000000"/>
          <w:sz w:val="22"/>
        </w:rPr>
        <w:t>(z)</w:t>
      </w:r>
      <w:r>
        <w:rPr>
          <w:rFonts w:ascii="Times New Roman;serif" w:hAnsi="Times New Roman;serif"/>
          <w:b w:val="false"/>
          <w:color w:val="000000"/>
          <w:sz w:val="22"/>
        </w:rPr>
        <w:t>Investments in the ordinary course of business consisting of endorsements for collection or deposit;</w:t>
      </w:r>
    </w:p>
    <w:p>
      <w:pPr>
        <w:pStyle w:val="TextBody"/>
        <w:bidi w:val="0"/>
        <w:spacing w:lineRule="auto" w:line="240" w:before="0" w:after="240"/>
        <w:ind w:left="0" w:right="0" w:firstLine="1440"/>
        <w:jc w:val="both"/>
        <w:rPr/>
      </w:pPr>
      <w:bookmarkStart w:id="451" w:name="i9cb78a35e6364549b3dd5e326df12dde"/>
      <w:bookmarkEnd w:id="451"/>
      <w:r>
        <w:rPr>
          <w:rFonts w:ascii="Times New Roman;serif" w:hAnsi="Times New Roman;serif"/>
          <w:b w:val="false"/>
          <w:color w:val="000000"/>
          <w:sz w:val="22"/>
        </w:rPr>
        <w:t>(aa)</w:t>
      </w:r>
      <w:r>
        <w:rPr>
          <w:rFonts w:ascii="Times New Roman;serif" w:hAnsi="Times New Roman;serif"/>
          <w:b w:val="false"/>
          <w:color w:val="000000"/>
          <w:sz w:val="22"/>
        </w:rPr>
        <w:t>advances of payroll payments to employees in the ordinary course of business;</w:t>
      </w:r>
    </w:p>
    <w:p>
      <w:pPr>
        <w:pStyle w:val="TextBody"/>
        <w:bidi w:val="0"/>
        <w:spacing w:lineRule="auto" w:line="240" w:before="0" w:after="240"/>
        <w:ind w:left="0" w:right="0" w:firstLine="1440"/>
        <w:jc w:val="both"/>
        <w:rPr/>
      </w:pPr>
      <w:bookmarkStart w:id="452" w:name="iff37e146b3c14de08f74a3b340186886"/>
      <w:bookmarkEnd w:id="452"/>
      <w:r>
        <w:rPr>
          <w:rFonts w:ascii="Times New Roman;serif" w:hAnsi="Times New Roman;serif"/>
          <w:b w:val="false"/>
          <w:color w:val="000000"/>
          <w:sz w:val="22"/>
        </w:rPr>
        <w:t>(ab)</w:t>
      </w:r>
      <w:r>
        <w:rPr>
          <w:rFonts w:ascii="Times New Roman;serif" w:hAnsi="Times New Roman;serif"/>
          <w:b w:val="false"/>
          <w:color w:val="000000"/>
          <w:sz w:val="22"/>
        </w:rPr>
        <w:t>Guarantees by the Borrower of leases (other than Capital Lease Obligations) or of other obligations of a Subsidiary of the Borrower that do not constitute Indebtedness, in each case, entered into in the ordinary course of business; provided that any such Guarantee shall be unsecured;</w:t>
      </w:r>
    </w:p>
    <w:p>
      <w:pPr>
        <w:pStyle w:val="TextBody"/>
        <w:bidi w:val="0"/>
        <w:spacing w:lineRule="auto" w:line="240" w:before="0" w:after="240"/>
        <w:ind w:left="0" w:right="0" w:firstLine="1440"/>
        <w:jc w:val="both"/>
        <w:rPr/>
      </w:pPr>
      <w:bookmarkStart w:id="453" w:name="i598c778e991b4693bbc7e408c3d43270"/>
      <w:bookmarkEnd w:id="453"/>
      <w:r>
        <w:rPr>
          <w:rFonts w:ascii="Times New Roman;serif" w:hAnsi="Times New Roman;serif"/>
          <w:b w:val="false"/>
          <w:color w:val="000000"/>
          <w:sz w:val="22"/>
        </w:rPr>
        <w:t>(ac)</w:t>
      </w:r>
      <w:r>
        <w:rPr>
          <w:rFonts w:ascii="Times New Roman;serif" w:hAnsi="Times New Roman;serif"/>
          <w:b w:val="false"/>
          <w:color w:val="000000"/>
          <w:sz w:val="22"/>
        </w:rPr>
        <w:t xml:space="preserve">Investments to the extent the consideration paid therefor consists solely of Capital Stock of the Borrower (other than Disqualified Capital Stock); </w:t>
      </w:r>
    </w:p>
    <w:p>
      <w:pPr>
        <w:pStyle w:val="TextBody"/>
        <w:bidi w:val="0"/>
        <w:spacing w:lineRule="auto" w:line="240" w:before="0" w:after="240"/>
        <w:ind w:left="0" w:right="0" w:firstLine="1440"/>
        <w:jc w:val="both"/>
        <w:rPr/>
      </w:pPr>
      <w:bookmarkStart w:id="454" w:name="ia4dcd6b3a22e4a4bb58306b58ec1c611"/>
      <w:bookmarkEnd w:id="454"/>
      <w:r>
        <w:rPr>
          <w:rFonts w:ascii="Times New Roman;serif" w:hAnsi="Times New Roman;serif"/>
          <w:b w:val="false"/>
          <w:color w:val="000000"/>
          <w:sz w:val="22"/>
        </w:rPr>
        <w:t>(ad)</w:t>
      </w:r>
      <w:r>
        <w:rPr>
          <w:rFonts w:ascii="Times New Roman;serif" w:hAnsi="Times New Roman;serif"/>
          <w:b w:val="false"/>
          <w:color w:val="000000"/>
          <w:sz w:val="22"/>
        </w:rPr>
        <w:t>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pStyle w:val="TextBody"/>
        <w:bidi w:val="0"/>
        <w:spacing w:lineRule="auto" w:line="240" w:before="0" w:after="240"/>
        <w:ind w:left="0" w:right="0" w:firstLine="1440"/>
        <w:jc w:val="both"/>
        <w:rPr/>
      </w:pPr>
      <w:bookmarkStart w:id="455" w:name="ica33ae8e25da4b5f88f0ef5735bf69ae"/>
      <w:bookmarkEnd w:id="455"/>
      <w:r>
        <w:rPr>
          <w:rFonts w:ascii="Times New Roman;serif" w:hAnsi="Times New Roman;serif"/>
          <w:b w:val="false"/>
          <w:color w:val="000000"/>
          <w:sz w:val="22"/>
        </w:rPr>
        <w:t>(ae)</w:t>
      </w:r>
      <w:r>
        <w:rPr>
          <w:rFonts w:ascii="Times New Roman;serif" w:hAnsi="Times New Roman;serif"/>
          <w:b w:val="false"/>
          <w:color w:val="000000"/>
          <w:sz w:val="22"/>
        </w:rPr>
        <w:t>Investments (including debt obligations and Capital Stock) received in connection with the bankruptcy or reorganization of any distributors, suppliers, licensors or licensees and in settlement of obligations of, or disputes with, any such Person arising in the ordinary course of business and upon foreclosure with respect to any secured Investment or other transfer of title with respect to any secured Investment; and</w:t>
      </w:r>
    </w:p>
    <w:p>
      <w:pPr>
        <w:pStyle w:val="TextBody"/>
        <w:bidi w:val="0"/>
        <w:spacing w:lineRule="auto" w:line="240" w:before="0" w:after="240"/>
        <w:ind w:left="0" w:right="0" w:firstLine="1440"/>
        <w:jc w:val="both"/>
        <w:rPr/>
      </w:pPr>
      <w:bookmarkStart w:id="456" w:name="iee61b6e6bd92476ab375a5d6abb1e2fd"/>
      <w:bookmarkEnd w:id="456"/>
      <w:r>
        <w:rPr>
          <w:rFonts w:ascii="Times New Roman;serif" w:hAnsi="Times New Roman;serif"/>
          <w:b w:val="false"/>
          <w:color w:val="000000"/>
          <w:sz w:val="22"/>
        </w:rPr>
        <w:t>(af)</w:t>
      </w:r>
      <w:r>
        <w:rPr>
          <w:rFonts w:ascii="Times New Roman;serif" w:hAnsi="Times New Roman;serif"/>
          <w:b w:val="false"/>
          <w:color w:val="000000"/>
          <w:sz w:val="22"/>
        </w:rPr>
        <w:t xml:space="preserve">[reserved].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determining the amount of any Investment (other than Investments made using the Available Amount) outstanding for purposes of this </w:t>
      </w:r>
      <w:r>
        <w:rPr>
          <w:rFonts w:ascii="Times New Roman;serif" w:hAnsi="Times New Roman;serif"/>
          <w:b w:val="false"/>
          <w:color w:val="000000"/>
          <w:sz w:val="22"/>
          <w:u w:val="single"/>
        </w:rPr>
        <w:t>Section 7.4</w:t>
      </w:r>
      <w:r>
        <w:rPr>
          <w:rFonts w:ascii="Times New Roman;serif" w:hAnsi="Times New Roman;serif"/>
          <w:b w:val="false"/>
          <w:color w:val="000000"/>
          <w:sz w:val="22"/>
        </w:rPr>
        <w:t xml:space="preserve">, such amount shall be deemed to be the amount of such Investment when made, purchased or acquired less any amount realized in respect of such Investment upon the sale, collection or return of capital (not to exceed the original amount invested). </w:t>
      </w:r>
    </w:p>
    <w:p>
      <w:pPr>
        <w:pStyle w:val="TextBody"/>
        <w:bidi w:val="0"/>
        <w:spacing w:lineRule="auto" w:line="240" w:before="0" w:after="0"/>
        <w:ind w:left="0" w:right="0" w:firstLine="720"/>
        <w:jc w:val="both"/>
        <w:rPr/>
      </w:pPr>
      <w:bookmarkStart w:id="457" w:name="ib16155de77cb459a8d42bfb4932a7e03"/>
      <w:bookmarkEnd w:id="457"/>
      <w:r>
        <w:rPr>
          <w:rFonts w:ascii="Times New Roman;serif" w:hAnsi="Times New Roman;serif"/>
          <w:b/>
          <w:color w:val="000000"/>
          <w:sz w:val="22"/>
        </w:rPr>
        <w:t>Section 7.5</w:t>
      </w:r>
      <w:r>
        <w:rPr>
          <w:rFonts w:ascii="Times New Roman;serif" w:hAnsi="Times New Roman;serif"/>
          <w:b/>
          <w:color w:val="000000"/>
          <w:sz w:val="22"/>
          <w:u w:val="single"/>
        </w:rPr>
        <w:t>Restricted Payments</w:t>
      </w:r>
      <w:r>
        <w:rPr>
          <w:rFonts w:ascii="Times New Roman;serif" w:hAnsi="Times New Roman;serif"/>
          <w:b w:val="false"/>
          <w:color w:val="000000"/>
          <w:sz w:val="22"/>
        </w:rPr>
        <w:t>. The Borrower will not, and will not permit any of its Subsidiaries to, declare or make, or agree to pay or make, directly or indirectly, any Restricted Payment, except:</w:t>
      </w:r>
    </w:p>
    <w:p>
      <w:pPr>
        <w:pStyle w:val="TextBody"/>
        <w:bidi w:val="0"/>
        <w:spacing w:lineRule="auto" w:line="240" w:before="0" w:after="240"/>
        <w:ind w:left="0" w:right="0" w:firstLine="1440"/>
        <w:jc w:val="both"/>
        <w:rPr/>
      </w:pPr>
      <w:bookmarkStart w:id="458" w:name="i1f59f9e1d50544d19aefe11d2e4306a7"/>
      <w:bookmarkEnd w:id="458"/>
      <w:r>
        <w:rPr>
          <w:rFonts w:ascii="Times New Roman;serif" w:hAnsi="Times New Roman;serif"/>
          <w:b w:val="false"/>
          <w:color w:val="000000"/>
          <w:sz w:val="22"/>
        </w:rPr>
        <w:t>(a)</w:t>
      </w:r>
      <w:r>
        <w:rPr>
          <w:rFonts w:ascii="Times New Roman;serif" w:hAnsi="Times New Roman;serif"/>
          <w:b w:val="false"/>
          <w:color w:val="000000"/>
          <w:sz w:val="22"/>
        </w:rPr>
        <w:t xml:space="preserve">Restricted Payments consisting solely of Capital Stock of the Borrower (other than Disqualified Capital Stock); </w:t>
      </w:r>
    </w:p>
    <w:p>
      <w:pPr>
        <w:pStyle w:val="TextBody"/>
        <w:bidi w:val="0"/>
        <w:spacing w:lineRule="auto" w:line="240" w:before="0" w:after="240"/>
        <w:ind w:left="0" w:right="0" w:firstLine="1440"/>
        <w:jc w:val="both"/>
        <w:rPr/>
      </w:pPr>
      <w:bookmarkStart w:id="459" w:name="i48f9d556cb364228a2262824d8de76d8"/>
      <w:bookmarkEnd w:id="459"/>
      <w:r>
        <w:rPr>
          <w:rFonts w:ascii="Times New Roman;serif" w:hAnsi="Times New Roman;serif"/>
          <w:b w:val="false"/>
          <w:color w:val="000000"/>
          <w:sz w:val="22"/>
        </w:rPr>
        <w:t>(b)</w:t>
      </w:r>
      <w:r>
        <w:rPr>
          <w:rFonts w:ascii="Times New Roman;serif" w:hAnsi="Times New Roman;serif"/>
          <w:b w:val="false"/>
          <w:color w:val="000000"/>
          <w:sz w:val="22"/>
        </w:rPr>
        <w:t xml:space="preserve">any Subsidiary of the Borrower may declare and pay dividends or make other distributions to the Borrower or any Guarantor; </w:t>
      </w:r>
    </w:p>
    <w:p>
      <w:pPr>
        <w:pStyle w:val="TextBody"/>
        <w:bidi w:val="0"/>
        <w:spacing w:lineRule="auto" w:line="240" w:before="0" w:after="240"/>
        <w:ind w:left="0" w:right="0" w:firstLine="1440"/>
        <w:jc w:val="both"/>
        <w:rPr/>
      </w:pPr>
      <w:bookmarkStart w:id="460" w:name="i6b6f0e65bb634d2299885ffdbb64ce6e"/>
      <w:bookmarkEnd w:id="460"/>
      <w:r>
        <w:rPr>
          <w:rFonts w:ascii="Times New Roman;serif" w:hAnsi="Times New Roman;serif"/>
          <w:b w:val="false"/>
          <w:color w:val="000000"/>
          <w:sz w:val="22"/>
        </w:rPr>
        <w:t>(c)</w:t>
      </w:r>
      <w:r>
        <w:rPr>
          <w:rFonts w:ascii="Times New Roman;serif" w:hAnsi="Times New Roman;serif"/>
          <w:b w:val="false"/>
          <w:color w:val="000000"/>
          <w:sz w:val="22"/>
        </w:rPr>
        <w:t xml:space="preserve">Restricted Payments made by any Subsidiary to the Borrower or to another Subsidiary, on at least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with any other shareholders if such Subsidiary is not wholly owned by the Borrower and other Wholly-Owned Subsidiaries of the Borrower; </w:t>
      </w:r>
    </w:p>
    <w:p>
      <w:pPr>
        <w:pStyle w:val="TextBody"/>
        <w:bidi w:val="0"/>
        <w:spacing w:lineRule="auto" w:line="240" w:before="0" w:after="240"/>
        <w:ind w:left="0" w:right="0" w:firstLine="1440"/>
        <w:jc w:val="both"/>
        <w:rPr/>
      </w:pPr>
      <w:bookmarkStart w:id="461" w:name="i3a61f37a4f9b46a38406ef99d0467b63"/>
      <w:bookmarkEnd w:id="461"/>
      <w:r>
        <w:rPr>
          <w:rFonts w:ascii="Times New Roman;serif" w:hAnsi="Times New Roman;serif"/>
          <w:b w:val="false"/>
          <w:color w:val="000000"/>
          <w:sz w:val="22"/>
        </w:rPr>
        <w:t>(d)</w:t>
      </w:r>
      <w:r>
        <w:rPr>
          <w:rFonts w:ascii="Times New Roman;serif" w:hAnsi="Times New Roman;serif"/>
          <w:b w:val="false"/>
          <w:color w:val="000000"/>
          <w:sz w:val="22"/>
        </w:rPr>
        <w:t xml:space="preserve">Restricted Payments in an amount not to exceed the greater of (x) 20% of Consolidated EBITDA for the most recently ended Test Period (calculated on a Pro Forma Basis) and (y) $88,000,000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 xml:space="preserve">before and after giving effect to any such Restricted Payment, no Default or Event of Default has occurred and is continuing; </w:t>
      </w:r>
    </w:p>
    <w:p>
      <w:pPr>
        <w:pStyle w:val="TextBody"/>
        <w:bidi w:val="0"/>
        <w:spacing w:lineRule="auto" w:line="240" w:before="0" w:after="240"/>
        <w:ind w:left="0" w:right="0" w:firstLine="1440"/>
        <w:jc w:val="both"/>
        <w:rPr/>
      </w:pPr>
      <w:bookmarkStart w:id="462" w:name="i211163b9f1cf40d7800039ff435b6ff7"/>
      <w:bookmarkEnd w:id="462"/>
      <w:r>
        <w:rPr>
          <w:rFonts w:ascii="Times New Roman;serif" w:hAnsi="Times New Roman;serif"/>
          <w:b w:val="false"/>
          <w:color w:val="000000"/>
          <w:sz w:val="22"/>
        </w:rPr>
        <w:t>(e)</w:t>
      </w:r>
      <w:r>
        <w:rPr>
          <w:rFonts w:ascii="Times New Roman;serif" w:hAnsi="Times New Roman;serif"/>
          <w:b w:val="false"/>
          <w:color w:val="000000"/>
          <w:sz w:val="22"/>
        </w:rPr>
        <w:t xml:space="preserve">other Restricted Payments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 xml:space="preserve">(i) before and after giving effect to any such Restricted Payment, no Default or Event of Default has occurred and is continuing and (ii) on a Pro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036955"/>
                <wp:effectExtent l="0" t="0" r="0" b="0"/>
                <wp:wrapNone/>
                <wp:docPr id="242" name="Frame24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Forma Basis after giving effect to any such Restricted Payment, the Consolidated Total Net Leverage Ratio is less than 2.75:1.00; </w:t>
      </w:r>
    </w:p>
    <w:p>
      <w:pPr>
        <w:pStyle w:val="TextBody"/>
        <w:bidi w:val="0"/>
        <w:spacing w:lineRule="auto" w:line="240" w:before="0" w:after="240"/>
        <w:ind w:left="0" w:right="0" w:firstLine="1440"/>
        <w:jc w:val="both"/>
        <w:rPr/>
      </w:pPr>
      <w:bookmarkStart w:id="463" w:name="iaeb18b92d53e463a869226432406e4d5"/>
      <w:bookmarkEnd w:id="463"/>
      <w:r>
        <w:rPr>
          <w:rFonts w:ascii="Times New Roman;serif" w:hAnsi="Times New Roman;serif"/>
          <w:b w:val="false"/>
          <w:color w:val="000000"/>
          <w:sz w:val="22"/>
        </w:rPr>
        <w:t>(f)</w:t>
      </w:r>
      <w:r>
        <w:rPr>
          <w:rFonts w:ascii="Times New Roman;serif" w:hAnsi="Times New Roman;serif"/>
          <w:b w:val="false"/>
          <w:color w:val="000000"/>
          <w:sz w:val="22"/>
        </w:rPr>
        <w:t xml:space="preserve">solely in connection with Permitted Convertible Indebtedness (including new Refinancing Indebtedness exchanged therefor), the Borrower and its Subsidiaries may enter into Permitted Equity Derivatives, including the payment of customary premiums which are reasonable in amount (as reasonably determined by the Borrower in good faith) in connection therewith (and may settle, terminate or unwind any (or any portion of) such Permitted Equity Derivatives in connection with any refinancing, repurchase, redemption, early conversion or maturity of such Permitted Convertible Indebtedness), in each case, in accordance with the terms of the agreement governing such Permitted Equity Derivatives; </w:t>
      </w:r>
    </w:p>
    <w:p>
      <w:pPr>
        <w:pStyle w:val="TextBody"/>
        <w:bidi w:val="0"/>
        <w:spacing w:lineRule="auto" w:line="240" w:before="0" w:after="240"/>
        <w:ind w:left="0" w:right="0" w:firstLine="1440"/>
        <w:jc w:val="both"/>
        <w:rPr/>
      </w:pPr>
      <w:bookmarkStart w:id="464" w:name="iba0af8cbe4044077a7eeb27468ba6da6"/>
      <w:bookmarkEnd w:id="464"/>
      <w:r>
        <w:rPr>
          <w:rFonts w:ascii="Times New Roman;serif" w:hAnsi="Times New Roman;serif"/>
          <w:b w:val="false"/>
          <w:color w:val="000000"/>
          <w:sz w:val="22"/>
        </w:rPr>
        <w:t>(g)</w:t>
      </w:r>
      <w:r>
        <w:rPr>
          <w:rFonts w:ascii="Times New Roman;serif" w:hAnsi="Times New Roman;serif"/>
          <w:b w:val="false"/>
          <w:color w:val="000000"/>
          <w:sz w:val="22"/>
        </w:rPr>
        <w:t>the Borrower and its Subsidiaries may make Restricted Payments to allow the payment of cash in lieu of the issuance of fractional shares upon the exercise of options or, warrants or rights or upon the conversion or exchange of or into Capital Stock, or payments or distributions to dissenting stockholders pursuant to applicable law;</w:t>
      </w:r>
    </w:p>
    <w:p>
      <w:pPr>
        <w:pStyle w:val="TextBody"/>
        <w:bidi w:val="0"/>
        <w:spacing w:lineRule="auto" w:line="240" w:before="0" w:after="240"/>
        <w:ind w:left="0" w:right="0" w:firstLine="1440"/>
        <w:jc w:val="both"/>
        <w:rPr/>
      </w:pPr>
      <w:bookmarkStart w:id="465" w:name="idfc0ab026d334e4ea6c133bab807d492"/>
      <w:bookmarkEnd w:id="465"/>
      <w:r>
        <w:rPr>
          <w:rFonts w:ascii="Times New Roman;serif" w:hAnsi="Times New Roman;serif"/>
          <w:b w:val="false"/>
          <w:color w:val="000000"/>
          <w:sz w:val="22"/>
        </w:rPr>
        <w:t>(h)</w:t>
      </w:r>
      <w:r>
        <w:rPr>
          <w:rFonts w:ascii="Times New Roman;serif" w:hAnsi="Times New Roman;serif"/>
          <w:b w:val="false"/>
          <w:color w:val="000000"/>
          <w:sz w:val="22"/>
        </w:rPr>
        <w:t xml:space="preserve">the Borrower and its Subsidiaries may (x) repurchase Capital Stock to the extent deemed to occur upon exercise of stock options, warrants or rights in respect thereof to the extent such Capital Stock represents a portion of the exercise price of such options, warrants or rights in respect thereof and (y) if such payments are made pursuant to a stock option plan or an incentive plan, make payments in respect of withholding or similar Taxes payable or expected to be payable by any present or former member of management, director, officer, employee, or consultant of the Borrower or any of its Subsidiaries or family members, spouses or former spouses, heirs of, estates of or trusts formed by such Persons in connection with the exercise of stock options or grant, vesting or delivery of Capital Stock; </w:t>
      </w:r>
    </w:p>
    <w:p>
      <w:pPr>
        <w:pStyle w:val="TextBody"/>
        <w:bidi w:val="0"/>
        <w:spacing w:lineRule="auto" w:line="240" w:before="0" w:after="240"/>
        <w:ind w:left="0" w:right="0" w:firstLine="1440"/>
        <w:jc w:val="both"/>
        <w:rPr/>
      </w:pPr>
      <w:bookmarkStart w:id="466" w:name="i5097e30a937349009ac9fb1cb1430ebf"/>
      <w:bookmarkEnd w:id="466"/>
      <w:r>
        <w:rPr>
          <w:rFonts w:ascii="Times New Roman;serif" w:hAnsi="Times New Roman;serif"/>
          <w:b w:val="false"/>
          <w:color w:val="000000"/>
          <w:sz w:val="22"/>
        </w:rPr>
        <w:t>(i)</w:t>
      </w:r>
      <w:r>
        <w:rPr>
          <w:rFonts w:ascii="Times New Roman;serif" w:hAnsi="Times New Roman;serif"/>
          <w:b w:val="false"/>
          <w:color w:val="000000"/>
          <w:sz w:val="22"/>
        </w:rPr>
        <w:t xml:space="preserve">in addition to the other Restricted Payments otherwise permitted under this </w:t>
      </w:r>
      <w:r>
        <w:rPr>
          <w:rFonts w:ascii="Times New Roman;serif" w:hAnsi="Times New Roman;serif"/>
          <w:b w:val="false"/>
          <w:color w:val="000000"/>
          <w:sz w:val="22"/>
          <w:u w:val="single"/>
        </w:rPr>
        <w:t>Section 7.5</w:t>
      </w:r>
      <w:r>
        <w:rPr>
          <w:rFonts w:ascii="Times New Roman;serif" w:hAnsi="Times New Roman;serif"/>
          <w:b w:val="false"/>
          <w:color w:val="000000"/>
          <w:sz w:val="22"/>
        </w:rPr>
        <w:t xml:space="preserve">, the Borrower and its Subsidiaries may make additional Restricted Payments in an amount not to exceed the Available Amount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 xml:space="preserve">(x) at the time of any such Restricted Payment, no Default or Event of Default shall exist or would result from such Restricted Payment and (y) on a Pro Forma Basis after giving effect to any such Restricted Payment, the Consolidated Total Net Leverage Ratio is less than 3.25:1.00; </w:t>
      </w:r>
    </w:p>
    <w:p>
      <w:pPr>
        <w:pStyle w:val="TextBody"/>
        <w:bidi w:val="0"/>
        <w:spacing w:lineRule="auto" w:line="240" w:before="0" w:after="240"/>
        <w:ind w:left="0" w:right="0" w:firstLine="1440"/>
        <w:jc w:val="both"/>
        <w:rPr/>
      </w:pPr>
      <w:bookmarkStart w:id="467" w:name="ifdcca888b5524d6b9f7c30d0ce35577c"/>
      <w:bookmarkEnd w:id="467"/>
      <w:r>
        <w:rPr>
          <w:rFonts w:ascii="Times New Roman;serif" w:hAnsi="Times New Roman;serif"/>
          <w:b w:val="false"/>
          <w:color w:val="000000"/>
          <w:sz w:val="22"/>
        </w:rPr>
        <w:t>(j)</w:t>
      </w:r>
      <w:r>
        <w:rPr>
          <w:rFonts w:ascii="Times New Roman;serif" w:hAnsi="Times New Roman;serif"/>
          <w:b w:val="false"/>
          <w:color w:val="000000"/>
          <w:sz w:val="22"/>
        </w:rPr>
        <w:t xml:space="preserve">in addition to the other Restricted Payments permitted under this </w:t>
      </w:r>
      <w:r>
        <w:rPr>
          <w:rFonts w:ascii="Times New Roman;serif" w:hAnsi="Times New Roman;serif"/>
          <w:b w:val="false"/>
          <w:color w:val="000000"/>
          <w:sz w:val="22"/>
          <w:u w:val="single"/>
        </w:rPr>
        <w:t>Section 7.5</w:t>
      </w:r>
      <w:r>
        <w:rPr>
          <w:rFonts w:ascii="Times New Roman;serif" w:hAnsi="Times New Roman;serif"/>
          <w:b w:val="false"/>
          <w:color w:val="000000"/>
          <w:sz w:val="22"/>
        </w:rPr>
        <w:t>, the Borrower and its Subsidiaries may make additional Restricted Payments in respect of the 2029 Convertible Notes and other Permitted Convertible Indebtedness solely to the extent such payments are (i) made solely with the proceeds of any issuance of Capital Stock or other Permitted Convertible Indebtedness, (ii) scheduled cash interest payments, (iii) required cash payments of accrued but unpaid interest upon repurchase, redemption or exchange thereof, (iv) cash payments in lieu of any fractional share issuable upon conversion thereof, (v) the payment of cash consideration in respect of any conversion of Permitted Convertible Indebtedness in accordance with the terms of such Permitted Convertible Indebtedness, and (vi) any ordinary course fees or other expenses in connection therewith;</w:t>
      </w:r>
    </w:p>
    <w:p>
      <w:pPr>
        <w:pStyle w:val="TextBody"/>
        <w:bidi w:val="0"/>
        <w:spacing w:lineRule="auto" w:line="240" w:before="0" w:after="240"/>
        <w:ind w:left="0" w:right="0" w:firstLine="1440"/>
        <w:jc w:val="both"/>
        <w:rPr/>
      </w:pPr>
      <w:bookmarkStart w:id="468" w:name="if85bc1fe787d406494066e205a3a9dcc"/>
      <w:bookmarkEnd w:id="468"/>
      <w:r>
        <w:rPr>
          <w:rFonts w:ascii="Times New Roman;serif" w:hAnsi="Times New Roman;serif"/>
          <w:b w:val="false"/>
          <w:color w:val="000000"/>
          <w:sz w:val="22"/>
        </w:rPr>
        <w:t>(k)</w:t>
      </w:r>
      <w:r>
        <w:rPr>
          <w:rFonts w:ascii="Times New Roman;serif" w:hAnsi="Times New Roman;serif"/>
          <w:b w:val="false"/>
          <w:color w:val="000000"/>
          <w:sz w:val="22"/>
        </w:rPr>
        <w:t xml:space="preserve">any other Restricted Payments in respect of the 2029 Convertible Notes and other Permitted Convertible Indebtedness </w:t>
      </w:r>
      <w:r>
        <w:rPr>
          <w:rFonts w:ascii="Times New Roman;serif" w:hAnsi="Times New Roman;serif"/>
          <w:b w:val="false"/>
          <w:color w:val="000000"/>
          <w:sz w:val="22"/>
          <w:u w:val="single"/>
        </w:rPr>
        <w:t>so long as</w:t>
      </w:r>
      <w:r>
        <w:rPr>
          <w:color w:val="000000"/>
        </w:rPr>
        <w:t xml:space="preserve"> </w:t>
      </w:r>
      <w:r>
        <w:rPr>
          <w:rFonts w:ascii="Times New Roman;serif" w:hAnsi="Times New Roman;serif"/>
          <w:b w:val="false"/>
          <w:color w:val="000000"/>
          <w:sz w:val="22"/>
        </w:rPr>
        <w:t>(x) immediately prior to such Restricted Payment (and on a Pro Forma Basis after giving effect to any such Restricted Payment), the Borrower has Liquidity of no less than $350,000,000 and (y) at the time of any such Restricted Payment, no Default or Event of Default shall exist or would result from such Restricted Payment; and</w:t>
      </w:r>
    </w:p>
    <w:p>
      <w:pPr>
        <w:pStyle w:val="TextBody"/>
        <w:bidi w:val="0"/>
        <w:spacing w:lineRule="auto" w:line="240" w:before="0" w:after="240"/>
        <w:ind w:left="0" w:right="0" w:firstLine="1440"/>
        <w:jc w:val="both"/>
        <w:rPr/>
      </w:pPr>
      <w:bookmarkStart w:id="469" w:name="i0ebf0fc1d1f34e2bbb53619715714802"/>
      <w:bookmarkEnd w:id="469"/>
      <w:r>
        <w:rPr>
          <w:rFonts w:ascii="Times New Roman;serif" w:hAnsi="Times New Roman;serif"/>
          <w:b w:val="false"/>
          <w:color w:val="000000"/>
          <w:sz w:val="22"/>
        </w:rPr>
        <w:t>(l)</w:t>
      </w:r>
      <w:r>
        <w:rPr>
          <w:rFonts w:ascii="Times New Roman;serif" w:hAnsi="Times New Roman;serif"/>
          <w:b w:val="false"/>
          <w:color w:val="000000"/>
          <w:sz w:val="22"/>
        </w:rPr>
        <w:t xml:space="preserve">the refinancing of any Permitted Convertible Indebtedness or any Indebtedness that is subordinated to the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 Default or Event of Default shall have occurred and be continuing or would result therefrom; and (B) any Indebtedness incurred in connection with such refinancing constitutes Permitted Refinancing Indebtedness. </w:t>
      </w:r>
    </w:p>
    <w:p>
      <w:pPr>
        <w:pStyle w:val="TextBody"/>
        <w:bidi w:val="0"/>
        <w:spacing w:lineRule="auto" w:line="240"/>
        <w:ind w:left="0" w:right="0" w:firstLine="720"/>
        <w:jc w:val="both"/>
        <w:rPr/>
      </w:pPr>
      <w:bookmarkStart w:id="470" w:name="i6fd592d32f4e4d829c75d301b470e3bf"/>
      <w:bookmarkEnd w:id="470"/>
      <w:r>
        <w:rPr>
          <w:rFonts w:ascii="Times New Roman;serif" w:hAnsi="Times New Roman;serif"/>
          <w:b/>
          <w:color w:val="000000"/>
          <w:sz w:val="22"/>
        </w:rPr>
        <w:t>Section 7.6</w:t>
      </w:r>
      <w:r>
        <w:rPr>
          <w:rFonts w:ascii="Times New Roman;serif" w:hAnsi="Times New Roman;serif"/>
          <w:b/>
          <w:color w:val="000000"/>
          <w:sz w:val="22"/>
          <w:u w:val="single"/>
        </w:rPr>
        <w:t>Sale of Assets</w:t>
      </w:r>
      <w:r>
        <w:rPr>
          <w:rFonts w:ascii="Times New Roman;serif" w:hAnsi="Times New Roman;serif"/>
          <w:b w:val="false"/>
          <w:color w:val="000000"/>
          <w:sz w:val="22"/>
        </w:rPr>
        <w:t>. The Borrower will not, and will not permit any of its Subsidiaries to, convey, sell, lease, assign, transfer or otherwise dispose of any of its assets, business or property or, in the case of any Subsidiary, any shares of such Subsidiary’s Capital Stock, in each case whether now owned or hereafter acquired, to any Person other than a Loan Party, except:</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036955"/>
                <wp:effectExtent l="0" t="0" r="0" b="0"/>
                <wp:wrapNone/>
                <wp:docPr id="243" name="Frame24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117</w:t>
                      </w:r>
                    </w:p>
                  </w:txbxContent>
                </v:textbox>
                <w10:wrap type="none"/>
              </v:rect>
            </w:pict>
          </mc:Fallback>
        </mc:AlternateContent>
      </w:r>
    </w:p>
    <w:p>
      <w:pPr>
        <w:pStyle w:val="TextBody"/>
        <w:bidi w:val="0"/>
        <w:spacing w:lineRule="auto" w:line="240" w:before="0" w:after="240"/>
        <w:ind w:left="0" w:right="0" w:firstLine="1440"/>
        <w:jc w:val="both"/>
        <w:rPr/>
      </w:pPr>
      <w:bookmarkStart w:id="471" w:name="i2e78c52f0a124cbf8295b115262dda62"/>
      <w:bookmarkEnd w:id="471"/>
      <w:r>
        <w:rPr>
          <w:rFonts w:ascii="Times New Roman;serif" w:hAnsi="Times New Roman;serif"/>
          <w:b w:val="false"/>
          <w:color w:val="000000"/>
          <w:sz w:val="22"/>
        </w:rPr>
        <w:t>(a)</w:t>
      </w:r>
      <w:r>
        <w:rPr>
          <w:rFonts w:ascii="Times New Roman;serif" w:hAnsi="Times New Roman;serif"/>
          <w:b w:val="false"/>
          <w:color w:val="000000"/>
          <w:sz w:val="22"/>
        </w:rPr>
        <w:t>the sale or other disposition of obsolete or worn out property or other property not necessary for operations or no longer useful in the business disposed of in the ordinary course of business;</w:t>
      </w:r>
    </w:p>
    <w:p>
      <w:pPr>
        <w:pStyle w:val="TextBody"/>
        <w:bidi w:val="0"/>
        <w:spacing w:lineRule="auto" w:line="240" w:before="0" w:after="240"/>
        <w:ind w:left="0" w:right="0" w:firstLine="1440"/>
        <w:jc w:val="both"/>
        <w:rPr/>
      </w:pPr>
      <w:bookmarkStart w:id="472" w:name="i1c99505178e74b76ade0b2ac79603778"/>
      <w:bookmarkEnd w:id="472"/>
      <w:r>
        <w:rPr>
          <w:rFonts w:ascii="Times New Roman;serif" w:hAnsi="Times New Roman;serif"/>
          <w:b w:val="false"/>
          <w:color w:val="000000"/>
          <w:sz w:val="22"/>
        </w:rPr>
        <w:t>(b)</w:t>
      </w:r>
      <w:r>
        <w:rPr>
          <w:rFonts w:ascii="Times New Roman;serif" w:hAnsi="Times New Roman;serif"/>
          <w:b w:val="false"/>
          <w:color w:val="000000"/>
          <w:sz w:val="22"/>
        </w:rPr>
        <w:t xml:space="preserve">the sale or other disposition of inventory and Permitted Investments in the ordinary course of business; </w:t>
      </w:r>
    </w:p>
    <w:p>
      <w:pPr>
        <w:pStyle w:val="TextBody"/>
        <w:bidi w:val="0"/>
        <w:spacing w:lineRule="auto" w:line="240" w:before="0" w:after="240"/>
        <w:ind w:left="0" w:right="0" w:firstLine="1440"/>
        <w:jc w:val="both"/>
        <w:rPr/>
      </w:pPr>
      <w:bookmarkStart w:id="473" w:name="ibc62096d05df402bb05b803cb038d7c8"/>
      <w:bookmarkEnd w:id="473"/>
      <w:r>
        <w:rPr>
          <w:rFonts w:ascii="Times New Roman;serif" w:hAnsi="Times New Roman;serif"/>
          <w:b w:val="false"/>
          <w:color w:val="000000"/>
          <w:sz w:val="22"/>
        </w:rPr>
        <w:t>(c)</w:t>
      </w:r>
      <w:r>
        <w:rPr>
          <w:rFonts w:ascii="Times New Roman;serif" w:hAnsi="Times New Roman;serif"/>
          <w:b w:val="false"/>
          <w:color w:val="000000"/>
          <w:sz w:val="22"/>
        </w:rPr>
        <w:t>the disposition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lineRule="auto" w:line="240" w:before="0" w:after="240"/>
        <w:ind w:left="0" w:right="0" w:firstLine="1440"/>
        <w:jc w:val="both"/>
        <w:rPr/>
      </w:pPr>
      <w:bookmarkStart w:id="474" w:name="icc321dbb2b3247a3828dfb1f86772cea"/>
      <w:bookmarkEnd w:id="474"/>
      <w:r>
        <w:rPr>
          <w:rFonts w:ascii="Times New Roman;serif" w:hAnsi="Times New Roman;serif"/>
          <w:b w:val="false"/>
          <w:color w:val="000000"/>
          <w:sz w:val="22"/>
        </w:rPr>
        <w:t>(d)</w:t>
      </w:r>
      <w:r>
        <w:rPr>
          <w:rFonts w:ascii="Times New Roman;serif" w:hAnsi="Times New Roman;serif"/>
          <w:b w:val="false"/>
          <w:color w:val="000000"/>
          <w:sz w:val="22"/>
        </w:rPr>
        <w:t xml:space="preserve">(i) the non-exclusive license or sublicense, conveyance, sale or other transfer of intellectual property not interfering in any material respect with the ordinary conduct of business of the Loan Parties; (ii) the exclusive license or other disposition of intellectual property (A) existing as of the Closing Date and set forth on </w:t>
      </w:r>
      <w:r>
        <w:rPr>
          <w:rFonts w:ascii="Times New Roman;serif" w:hAnsi="Times New Roman;serif"/>
          <w:b w:val="false"/>
          <w:color w:val="000000"/>
          <w:sz w:val="22"/>
          <w:u w:val="single"/>
        </w:rPr>
        <w:t>Schedule 7.6</w:t>
      </w:r>
      <w:r>
        <w:rPr>
          <w:rFonts w:ascii="Times New Roman;serif" w:hAnsi="Times New Roman;serif"/>
          <w:b w:val="false"/>
          <w:color w:val="000000"/>
          <w:sz w:val="22"/>
        </w:rPr>
        <w:t xml:space="preserve">, (B) in a foreign jurisdiction that do not result in a legal transfer of title of the licensed intellectual property, (C) with respect to non-core products of the Borrower or any of its Subsidiaries that have not generated revenues as of the most recently ended Test Period in excess of $35,000,000 so long as any such exclusive license is entered into on terms not materially less favorable taken as a whole than prevailing market terms as reasonably determined by the Borrower in good faith or (D)(1) of non-core products acquired in connection with any Permitted Acquisition or (2) exclusive licenses acquired in connection with any Permitted Acquisition so long as such exclusive license was not entered into in contemplation of avoiding the obligations or restrictions under this Agreement or any other Loan Document; and (iii) the lapse or abandonment (including failure to maintain) of any intellectual property which, in the reasonable good faith determination of the Borrower or any of its Subsidiaries, is uneconomical to maintain, negligible, obsolete or otherwise not material in the conduct of its business (it being understood and agreed that no intellectual property that is material to the business of the Borrower and its Subsidiaries may be disposed of in reliance on this </w:t>
      </w:r>
      <w:r>
        <w:rPr>
          <w:rFonts w:ascii="Times New Roman;serif" w:hAnsi="Times New Roman;serif"/>
          <w:b w:val="false"/>
          <w:color w:val="000000"/>
          <w:sz w:val="22"/>
          <w:u w:val="single"/>
        </w:rPr>
        <w:t>Section 7.6(d)</w:t>
      </w:r>
      <w:r>
        <w:rPr>
          <w:color w:val="000000"/>
        </w:rPr>
        <w:t xml:space="preserve"> </w:t>
      </w:r>
      <w:r>
        <w:rPr>
          <w:rFonts w:ascii="Times New Roman;serif" w:hAnsi="Times New Roman;serif"/>
          <w:b w:val="false"/>
          <w:color w:val="000000"/>
          <w:sz w:val="22"/>
        </w:rPr>
        <w:t xml:space="preserve">(other than to the extent permitted under </w:t>
      </w:r>
      <w:r>
        <w:rPr>
          <w:rFonts w:ascii="Times New Roman;serif" w:hAnsi="Times New Roman;serif"/>
          <w:b w:val="false"/>
          <w:color w:val="000000"/>
          <w:sz w:val="22"/>
          <w:u w:val="single"/>
        </w:rPr>
        <w:t>clauses (ii)(A)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(ii)(D)(2)</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7.6(d)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475" w:name="ib6d2c98a713e401fa107d81025eea57b"/>
      <w:bookmarkEnd w:id="475"/>
      <w:r>
        <w:rPr>
          <w:rFonts w:ascii="Times New Roman;serif" w:hAnsi="Times New Roman;serif"/>
          <w:b w:val="false"/>
          <w:color w:val="000000"/>
          <w:sz w:val="22"/>
        </w:rPr>
        <w:t>(e)</w:t>
      </w:r>
      <w:r>
        <w:rPr>
          <w:rFonts w:ascii="Times New Roman;serif" w:hAnsi="Times New Roman;serif"/>
          <w:b w:val="false"/>
          <w:color w:val="000000"/>
          <w:sz w:val="22"/>
        </w:rPr>
        <w:t>the disposition of cash or cash equivalents in the ordinary course of business;</w:t>
      </w:r>
    </w:p>
    <w:p>
      <w:pPr>
        <w:pStyle w:val="TextBody"/>
        <w:bidi w:val="0"/>
        <w:spacing w:lineRule="auto" w:line="240" w:before="0" w:after="240"/>
        <w:ind w:left="0" w:right="0" w:firstLine="1440"/>
        <w:jc w:val="both"/>
        <w:rPr/>
      </w:pPr>
      <w:bookmarkStart w:id="476" w:name="icca28ac1aa4142ee9e5bda91af111324"/>
      <w:bookmarkEnd w:id="476"/>
      <w:r>
        <w:rPr>
          <w:rFonts w:ascii="Times New Roman;serif" w:hAnsi="Times New Roman;serif"/>
          <w:b w:val="false"/>
          <w:color w:val="000000"/>
          <w:sz w:val="22"/>
        </w:rPr>
        <w:t>(f)</w:t>
      </w:r>
      <w:r>
        <w:rPr>
          <w:rFonts w:ascii="Times New Roman;serif" w:hAnsi="Times New Roman;serif"/>
          <w:b w:val="false"/>
          <w:color w:val="000000"/>
          <w:sz w:val="22"/>
        </w:rPr>
        <w:t>the termination or assignment of leased office locations in the ordinary course of business;</w:t>
      </w:r>
    </w:p>
    <w:p>
      <w:pPr>
        <w:pStyle w:val="TextBody"/>
        <w:bidi w:val="0"/>
        <w:spacing w:lineRule="auto" w:line="240" w:before="0" w:after="240"/>
        <w:ind w:left="0" w:right="0" w:firstLine="1440"/>
        <w:jc w:val="both"/>
        <w:rPr/>
      </w:pPr>
      <w:bookmarkStart w:id="477" w:name="ifb7521bfb5d942e5a80362c26b104524"/>
      <w:bookmarkEnd w:id="477"/>
      <w:r>
        <w:rPr>
          <w:rFonts w:ascii="Times New Roman;serif" w:hAnsi="Times New Roman;serif"/>
          <w:b w:val="false"/>
          <w:color w:val="000000"/>
          <w:sz w:val="22"/>
        </w:rPr>
        <w:t>(g)</w:t>
      </w:r>
      <w:r>
        <w:rPr>
          <w:rFonts w:ascii="Times New Roman;serif" w:hAnsi="Times New Roman;serif"/>
          <w:b w:val="false"/>
          <w:color w:val="000000"/>
          <w:sz w:val="22"/>
        </w:rPr>
        <w:t xml:space="preserve">the disposition of accounts receivable in the ordinary course of business in connection with the collection or compromise thereof; </w:t>
      </w:r>
    </w:p>
    <w:p>
      <w:pPr>
        <w:pStyle w:val="TextBody"/>
        <w:bidi w:val="0"/>
        <w:spacing w:lineRule="auto" w:line="240" w:before="0" w:after="240"/>
        <w:ind w:left="0" w:right="0" w:firstLine="1440"/>
        <w:jc w:val="both"/>
        <w:rPr/>
      </w:pPr>
      <w:bookmarkStart w:id="478" w:name="i158439d858fa468b96b1096b8e739986"/>
      <w:bookmarkEnd w:id="478"/>
      <w:r>
        <w:rPr>
          <w:rFonts w:ascii="Times New Roman;serif" w:hAnsi="Times New Roman;serif"/>
          <w:b w:val="false"/>
          <w:color w:val="000000"/>
          <w:sz w:val="22"/>
        </w:rPr>
        <w:t>(h)</w:t>
      </w:r>
      <w:r>
        <w:rPr>
          <w:rFonts w:ascii="Times New Roman;serif" w:hAnsi="Times New Roman;serif"/>
          <w:b w:val="false"/>
          <w:color w:val="000000"/>
          <w:sz w:val="22"/>
        </w:rPr>
        <w:t xml:space="preserve">the sale or other disposition of such assets in an aggregate amount based on the fair market value of such assets not to exceed the greater of (x) 10% of Consolidated EBITDA for the most recently ended Test Period (calculated on a Pro Forma Basis) and (y) $44,000,000 during the term of this Agreement; </w:t>
      </w:r>
    </w:p>
    <w:p>
      <w:pPr>
        <w:pStyle w:val="TextBody"/>
        <w:bidi w:val="0"/>
        <w:spacing w:lineRule="auto" w:line="240" w:before="0" w:after="240"/>
        <w:ind w:left="0" w:right="0" w:firstLine="1440"/>
        <w:jc w:val="both"/>
        <w:rPr/>
      </w:pPr>
      <w:bookmarkStart w:id="479" w:name="i55058b607b6c45ca9bff3f9b1c936003"/>
      <w:bookmarkEnd w:id="479"/>
      <w:r>
        <w:rPr>
          <w:rFonts w:ascii="Times New Roman;serif" w:hAnsi="Times New Roman;serif"/>
          <w:b w:val="false"/>
          <w:color w:val="000000"/>
          <w:sz w:val="22"/>
        </w:rPr>
        <w:t>(i)</w:t>
      </w:r>
      <w:r>
        <w:rPr>
          <w:rFonts w:ascii="Times New Roman;serif" w:hAnsi="Times New Roman;serif"/>
          <w:b w:val="false"/>
          <w:color w:val="000000"/>
          <w:sz w:val="22"/>
        </w:rPr>
        <w:t xml:space="preserve">the sale or other disposition of immaterial assets acquired in connection with any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consideration received for such assets shall be in an amount at least equal to the fair market value thereof (determined in good faith by the Borrower) and (ii) no less than 75% of the proceeds thereof shall be paid in cash;</w:t>
      </w:r>
    </w:p>
    <w:p>
      <w:pPr>
        <w:pStyle w:val="TextBody"/>
        <w:bidi w:val="0"/>
        <w:spacing w:lineRule="auto" w:line="240" w:before="0" w:after="240"/>
        <w:ind w:left="0" w:right="0" w:firstLine="1440"/>
        <w:jc w:val="both"/>
        <w:rPr/>
      </w:pPr>
      <w:bookmarkStart w:id="480" w:name="i3b6ca4e072134b3db8c92c7073a58bd5"/>
      <w:bookmarkEnd w:id="480"/>
      <w:r>
        <w:rPr>
          <w:rFonts w:ascii="Times New Roman;serif" w:hAnsi="Times New Roman;serif"/>
          <w:b w:val="false"/>
          <w:color w:val="000000"/>
          <w:sz w:val="22"/>
        </w:rPr>
        <w:t>(j)</w:t>
      </w:r>
      <w:r>
        <w:rPr>
          <w:rFonts w:ascii="Times New Roman;serif" w:hAnsi="Times New Roman;serif"/>
          <w:b w:val="false"/>
          <w:color w:val="000000"/>
          <w:sz w:val="22"/>
        </w:rPr>
        <w:t>assets disposed of in connection with condemnation, eminent domain or insurance claims;</w:t>
      </w:r>
    </w:p>
    <w:p>
      <w:pPr>
        <w:pStyle w:val="TextBody"/>
        <w:bidi w:val="0"/>
        <w:spacing w:lineRule="auto" w:line="240" w:before="0" w:after="240"/>
        <w:ind w:left="0" w:right="0" w:firstLine="1440"/>
        <w:jc w:val="both"/>
        <w:rPr/>
      </w:pPr>
      <w:bookmarkStart w:id="481" w:name="i43521c8bf840447ab4c74ee7720e7522"/>
      <w:bookmarkEnd w:id="481"/>
      <w:r>
        <w:rPr>
          <w:rFonts w:ascii="Times New Roman;serif" w:hAnsi="Times New Roman;serif"/>
          <w:b w:val="false"/>
          <w:color w:val="000000"/>
          <w:sz w:val="22"/>
        </w:rPr>
        <w:t>(k)</w:t>
      </w:r>
      <w:r>
        <w:rPr>
          <w:rFonts w:ascii="Times New Roman;serif" w:hAnsi="Times New Roman;serif"/>
          <w:b w:val="false"/>
          <w:color w:val="000000"/>
          <w:sz w:val="22"/>
        </w:rPr>
        <w:t xml:space="preserve">dispositions of property by the Borrower or any Subsidiary to the Borrower or any other Subsidiary (including any such disposition effected pursuant to a merger, amalgamation, consolidation, liquidation or dissolution);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transferor of such property is a Loan Party then the transferee thereof must either be a Loan Party or, to the extent such transaction constitutes an Investment, such transaction is permitted under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 xml:space="preserve">and any Indebtedness corresponding to such Investment must be permitted by </w:t>
      </w:r>
      <w:r>
        <w:rPr>
          <w:rFonts w:ascii="Times New Roman;serif" w:hAnsi="Times New Roman;serif"/>
          <w:b w:val="false"/>
          <w:color w:val="000000"/>
          <w:sz w:val="22"/>
          <w:u w:val="single"/>
        </w:rPr>
        <w:t xml:space="preserve">Section 7.1;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036955"/>
                <wp:effectExtent l="0" t="0" r="0" b="0"/>
                <wp:wrapNone/>
                <wp:docPr id="244" name="Frame24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118</w:t>
                      </w:r>
                    </w:p>
                  </w:txbxContent>
                </v:textbox>
                <w10:wrap type="none"/>
              </v:rect>
            </w:pict>
          </mc:Fallback>
        </mc:AlternateContent>
      </w:r>
    </w:p>
    <w:p>
      <w:pPr>
        <w:pStyle w:val="TextBody"/>
        <w:bidi w:val="0"/>
        <w:spacing w:lineRule="auto" w:line="240" w:before="0" w:after="240"/>
        <w:ind w:left="0" w:right="0" w:firstLine="1440"/>
        <w:jc w:val="both"/>
        <w:rPr/>
      </w:pPr>
      <w:bookmarkStart w:id="482" w:name="i02d637a094164f749552422420e5142a"/>
      <w:bookmarkEnd w:id="482"/>
      <w:r>
        <w:rPr>
          <w:rFonts w:ascii="Times New Roman;serif" w:hAnsi="Times New Roman;serif"/>
          <w:b w:val="false"/>
          <w:color w:val="000000"/>
          <w:sz w:val="22"/>
        </w:rPr>
        <w:t>(l)</w:t>
      </w:r>
      <w:r>
        <w:rPr>
          <w:rFonts w:ascii="Times New Roman;serif" w:hAnsi="Times New Roman;serif"/>
          <w:b w:val="false"/>
          <w:color w:val="000000"/>
          <w:sz w:val="22"/>
        </w:rPr>
        <w:t>leases, subleases, licenses or sublicenses of property (other than intellectual property) in the ordinary course of business and which do not materially interfere with the business of the Borrower and its Subsidiaries taken as a whole;</w:t>
      </w:r>
    </w:p>
    <w:p>
      <w:pPr>
        <w:pStyle w:val="TextBody"/>
        <w:bidi w:val="0"/>
        <w:spacing w:lineRule="auto" w:line="240" w:before="0" w:after="240"/>
        <w:ind w:left="0" w:right="0" w:firstLine="1440"/>
        <w:jc w:val="both"/>
        <w:rPr/>
      </w:pPr>
      <w:bookmarkStart w:id="483" w:name="iaea2103df5014b07973ce4b28dd04135"/>
      <w:bookmarkEnd w:id="483"/>
      <w:r>
        <w:rPr>
          <w:rFonts w:ascii="Times New Roman;serif" w:hAnsi="Times New Roman;serif"/>
          <w:b w:val="false"/>
          <w:color w:val="000000"/>
          <w:sz w:val="22"/>
        </w:rPr>
        <w:t>(m)</w:t>
      </w:r>
      <w:r>
        <w:rPr>
          <w:rFonts w:ascii="Times New Roman;serif" w:hAnsi="Times New Roman;serif"/>
          <w:b w:val="false"/>
          <w:color w:val="000000"/>
          <w:sz w:val="22"/>
        </w:rPr>
        <w:t>dispositions of Investments in joint ventures, to the extent required by, or made pursuant to buy/sell arrangements between the joint venture parties as set forth in the relevant documents governing such joint ventures;</w:t>
      </w:r>
    </w:p>
    <w:p>
      <w:pPr>
        <w:pStyle w:val="TextBody"/>
        <w:bidi w:val="0"/>
        <w:spacing w:lineRule="auto" w:line="240" w:before="0" w:after="240"/>
        <w:ind w:left="0" w:right="0" w:firstLine="1440"/>
        <w:jc w:val="both"/>
        <w:rPr/>
      </w:pPr>
      <w:bookmarkStart w:id="484" w:name="ic0094fc64abe49a597cffa45bf16eedc"/>
      <w:bookmarkEnd w:id="484"/>
      <w:r>
        <w:rPr>
          <w:rFonts w:ascii="Times New Roman;serif" w:hAnsi="Times New Roman;serif"/>
          <w:b w:val="false"/>
          <w:color w:val="000000"/>
          <w:sz w:val="22"/>
        </w:rPr>
        <w:t>(n)</w:t>
      </w:r>
      <w:r>
        <w:rPr>
          <w:rFonts w:ascii="Times New Roman;serif" w:hAnsi="Times New Roman;serif"/>
          <w:b w:val="false"/>
          <w:color w:val="000000"/>
          <w:sz w:val="22"/>
        </w:rPr>
        <w:t>any surrender or waiver of contractual rights or the settlement, release or surrender of contractual rights or other litigation claims in the ordinary course of business;</w:t>
      </w:r>
    </w:p>
    <w:p>
      <w:pPr>
        <w:pStyle w:val="TextBody"/>
        <w:bidi w:val="0"/>
        <w:spacing w:lineRule="auto" w:line="240" w:before="0" w:after="240"/>
        <w:ind w:left="0" w:right="0" w:firstLine="1440"/>
        <w:jc w:val="both"/>
        <w:rPr/>
      </w:pPr>
      <w:bookmarkStart w:id="485" w:name="i559dcd0aac0346f381073e68382a3454"/>
      <w:bookmarkEnd w:id="485"/>
      <w:r>
        <w:rPr>
          <w:rFonts w:ascii="Times New Roman;serif" w:hAnsi="Times New Roman;serif"/>
          <w:b w:val="false"/>
          <w:color w:val="000000"/>
          <w:sz w:val="22"/>
        </w:rPr>
        <w:t>(o)</w:t>
      </w:r>
      <w:r>
        <w:rPr>
          <w:rFonts w:ascii="Times New Roman;serif" w:hAnsi="Times New Roman;serif"/>
          <w:b w:val="false"/>
          <w:color w:val="000000"/>
          <w:sz w:val="22"/>
        </w:rPr>
        <w:t>the termination of any Hedging Obligation or any unwind, settlement or termination of any Permitted Equity Derivative;</w:t>
      </w:r>
    </w:p>
    <w:p>
      <w:pPr>
        <w:pStyle w:val="TextBody"/>
        <w:bidi w:val="0"/>
        <w:spacing w:lineRule="auto" w:line="240" w:before="0" w:after="240"/>
        <w:ind w:left="0" w:right="0" w:firstLine="1440"/>
        <w:jc w:val="both"/>
        <w:rPr/>
      </w:pPr>
      <w:bookmarkStart w:id="486" w:name="iad620c8c78bc47929f4af194180f49fe"/>
      <w:bookmarkEnd w:id="486"/>
      <w:r>
        <w:rPr>
          <w:rFonts w:ascii="Times New Roman;serif" w:hAnsi="Times New Roman;serif"/>
          <w:b w:val="false"/>
          <w:color w:val="000000"/>
          <w:sz w:val="22"/>
        </w:rPr>
        <w:t>(p)</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487" w:name="ib7a54d0778b047b4bbb75cda1d890475"/>
      <w:bookmarkEnd w:id="487"/>
      <w:r>
        <w:rPr>
          <w:rFonts w:ascii="Times New Roman;serif" w:hAnsi="Times New Roman;serif"/>
          <w:b w:val="false"/>
          <w:color w:val="000000"/>
          <w:sz w:val="22"/>
        </w:rPr>
        <w:t>(q)</w:t>
      </w:r>
      <w:r>
        <w:rPr>
          <w:rFonts w:ascii="Times New Roman;serif" w:hAnsi="Times New Roman;serif"/>
          <w:b w:val="false"/>
          <w:color w:val="000000"/>
          <w:sz w:val="22"/>
        </w:rPr>
        <w:t xml:space="preserve">asset sales or other dispositions to Persons that are not the Borrower or a Subsidiary Loan Party (it being understood and agreed that no intellectual property that is material to the business of the Borrower and its Subsidiaries may be disposed of in reliance on this </w:t>
      </w:r>
      <w:r>
        <w:rPr>
          <w:rFonts w:ascii="Times New Roman;serif" w:hAnsi="Times New Roman;serif"/>
          <w:b w:val="false"/>
          <w:color w:val="000000"/>
          <w:sz w:val="22"/>
          <w:u w:val="single"/>
        </w:rPr>
        <w:t>Section 7.6(q)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at the time of such sale or other disposition, no Event of Default then exists or would arise therefrom, and (ii) the Borrower or any of its Subsidiaries shall receive not less than 75% of such consideration in the form of (x) cash or Permitted Investments or (y) real property acquired in an exchange pursuant to or intended to qualify under Section 1031 (or any successor section) of the Code (it being understood that for the purposes of clause (q)(ii)(x), the following shall be deemed to be cash: (A) any liabilities (as shown on the Borrower’s most recent balance sheet provided hereunder or in the footnotes thereto) of the Borrower or such Subsidiary, other than liabilities that are by their terms subordinated to the payment in cash of the Obligations, that are assumed by the transferee with respect to the applicable sale or disposition and for which all of its Subsidiaries shall have been validly released by all applicable creditors in writing, (B) any securities received by such Subsidiary from such transferee that are converted by such Subsidiary into cash or Permitted Investments (to the extent of the cash or Permitted Investments received) within one hundred and eighty (180) days following the closing of the applicable disposition and (C) any Designated Non-Cash Consideration received in respect of such disposition having an aggregate fair market value, taken together with all other Designated Non-Cash Consideration received pursuant to this clause (C) that is at that time outstanding, not in excess of $50,000,000, with the fair market value of each item of Designated Non-Cash Consideration being measured at such date of receipt or such agreement, as applicable, and without giving effect to subsequent changes in value); and</w:t>
      </w:r>
    </w:p>
    <w:p>
      <w:pPr>
        <w:pStyle w:val="TextBody"/>
        <w:bidi w:val="0"/>
        <w:spacing w:lineRule="auto" w:line="240" w:before="0" w:after="240"/>
        <w:ind w:left="0" w:right="0" w:firstLine="1440"/>
        <w:jc w:val="both"/>
        <w:rPr/>
      </w:pPr>
      <w:bookmarkStart w:id="488" w:name="iab92b26e1aa64284816722225a3dd200"/>
      <w:bookmarkEnd w:id="488"/>
      <w:r>
        <w:rPr>
          <w:rFonts w:ascii="Times New Roman;serif" w:hAnsi="Times New Roman;serif"/>
          <w:b w:val="false"/>
          <w:color w:val="000000"/>
          <w:sz w:val="22"/>
        </w:rPr>
        <w:t>(r)</w:t>
      </w:r>
      <w:r>
        <w:rPr>
          <w:rFonts w:ascii="Times New Roman;serif" w:hAnsi="Times New Roman;serif"/>
          <w:b w:val="false"/>
          <w:color w:val="000000"/>
          <w:sz w:val="22"/>
        </w:rPr>
        <w:t xml:space="preserve">dispositions (i) permitted by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7.5</w:t>
      </w:r>
      <w:r>
        <w:rPr>
          <w:rFonts w:ascii="Times New Roman;serif" w:hAnsi="Times New Roman;serif"/>
          <w:b w:val="false"/>
          <w:color w:val="000000"/>
          <w:sz w:val="22"/>
        </w:rPr>
        <w:t xml:space="preserve">, (ii) constituting Investments permitted by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 xml:space="preserve">or (iii) constituting Liens permitted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88" w:before="0" w:after="240"/>
        <w:jc w:val="both"/>
        <w:rPr/>
      </w:pPr>
      <w:bookmarkStart w:id="489" w:name="id007c86a12ae4bdda5155e8087fd41ef"/>
      <w:bookmarkEnd w:id="489"/>
      <w:r>
        <w:rPr>
          <w:rFonts w:ascii="Times New Roman;serif" w:hAnsi="Times New Roman;serif"/>
          <w:b w:val="false"/>
          <w:color w:val="000000"/>
          <w:sz w:val="24"/>
        </w:rPr>
        <w:t>(s)</w:t>
      </w:r>
      <w:r>
        <w:rPr>
          <w:rFonts w:ascii="Times New Roman;serif" w:hAnsi="Times New Roman;serif"/>
          <w:b w:val="false"/>
          <w:color w:val="000000"/>
          <w:sz w:val="22"/>
        </w:rPr>
        <w:t xml:space="preserve">Notwithstanding anything to the contrary set forth herein, no intellectual property that is owned by or licensed to the Borrower or its Subsidiaries that is material to the business of the Borrower and the other Loan Parties, taken as a whole, shall be assigned, transferred, or exclusively licensed or exclusively sublicensed to any Subsidiary that is not a Loan Party (except as permitted by </w:t>
      </w:r>
      <w:r>
        <w:rPr>
          <w:rFonts w:ascii="Times New Roman;serif" w:hAnsi="Times New Roman;serif"/>
          <w:b w:val="false"/>
          <w:color w:val="000000"/>
          <w:sz w:val="22"/>
          <w:u w:val="single"/>
        </w:rPr>
        <w:t>Section 7.6(d)</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490" w:name="ie46753bb82d0444eb685849ed1c10316"/>
      <w:bookmarkEnd w:id="490"/>
      <w:r>
        <w:rPr>
          <w:rFonts w:ascii="Times New Roman;serif" w:hAnsi="Times New Roman;serif"/>
          <w:b/>
          <w:color w:val="000000"/>
          <w:sz w:val="22"/>
        </w:rPr>
        <w:t>Section 7.7</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 The Borrower will not, and will not permit any of its Subsidiaries to, sell, lease or otherwise transfer any property or assets to, or purchase, lease or otherwise acquire any property or assets from, or otherwise engage in any other transactions or series of related transactions with, any of its Affiliates, except:</w:t>
      </w:r>
    </w:p>
    <w:p>
      <w:pPr>
        <w:pStyle w:val="TextBody"/>
        <w:bidi w:val="0"/>
        <w:spacing w:lineRule="auto" w:line="240" w:before="0" w:after="240"/>
        <w:ind w:left="0" w:right="0" w:firstLine="1440"/>
        <w:jc w:val="both"/>
        <w:rPr/>
      </w:pPr>
      <w:bookmarkStart w:id="491" w:name="ia6883164657840cfb408238d6a276f14"/>
      <w:bookmarkEnd w:id="491"/>
      <w:r>
        <w:rPr>
          <w:rFonts w:ascii="Times New Roman;serif" w:hAnsi="Times New Roman;serif"/>
          <w:b w:val="false"/>
          <w:color w:val="000000"/>
          <w:sz w:val="22"/>
        </w:rPr>
        <w:t>(a)</w:t>
      </w:r>
      <w:r>
        <w:rPr>
          <w:rFonts w:ascii="Times New Roman;serif" w:hAnsi="Times New Roman;serif"/>
          <w:b w:val="false"/>
          <w:color w:val="000000"/>
          <w:sz w:val="22"/>
        </w:rPr>
        <w:t>on terms and conditions not less favorable to the Borrower or such Subsidiary than could be obtained on an arm’s-length basis from unrelated third parties;</w:t>
      </w:r>
    </w:p>
    <w:p>
      <w:pPr>
        <w:pStyle w:val="TextBody"/>
        <w:bidi w:val="0"/>
        <w:spacing w:lineRule="auto" w:line="240" w:before="0" w:after="240"/>
        <w:ind w:left="0" w:right="0" w:firstLine="1440"/>
        <w:jc w:val="both"/>
        <w:rPr/>
      </w:pPr>
      <w:bookmarkStart w:id="492" w:name="ief3d2825fdf94074bc645c2ba5fdeef6"/>
      <w:bookmarkEnd w:id="492"/>
      <w:r>
        <w:rPr>
          <w:rFonts w:ascii="Times New Roman;serif" w:hAnsi="Times New Roman;serif"/>
          <w:b w:val="false"/>
          <w:color w:val="000000"/>
          <w:sz w:val="22"/>
        </w:rPr>
        <w:t>(b)</w:t>
      </w:r>
      <w:r>
        <w:rPr>
          <w:rFonts w:ascii="Times New Roman;serif" w:hAnsi="Times New Roman;serif"/>
          <w:b w:val="false"/>
          <w:color w:val="000000"/>
          <w:sz w:val="22"/>
        </w:rPr>
        <w:t xml:space="preserve">transactions between or among the Borrower and any Subsidiary not involving any other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036955"/>
                <wp:effectExtent l="0" t="0" r="0" b="0"/>
                <wp:wrapNone/>
                <wp:docPr id="245" name="Frame24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119</w:t>
                      </w:r>
                    </w:p>
                  </w:txbxContent>
                </v:textbox>
                <w10:wrap type="none"/>
              </v:rect>
            </w:pict>
          </mc:Fallback>
        </mc:AlternateContent>
      </w:r>
    </w:p>
    <w:p>
      <w:pPr>
        <w:pStyle w:val="TextBody"/>
        <w:bidi w:val="0"/>
        <w:spacing w:lineRule="auto" w:line="240" w:before="0" w:after="240"/>
        <w:ind w:left="0" w:right="0" w:firstLine="1440"/>
        <w:jc w:val="both"/>
        <w:rPr/>
      </w:pPr>
      <w:bookmarkStart w:id="493" w:name="i8a8364ef13e84425a135bf9932fd34f7"/>
      <w:bookmarkEnd w:id="493"/>
      <w:r>
        <w:rPr>
          <w:rFonts w:ascii="Times New Roman;serif" w:hAnsi="Times New Roman;serif"/>
          <w:b w:val="false"/>
          <w:color w:val="000000"/>
          <w:sz w:val="22"/>
        </w:rPr>
        <w:t>(c)</w:t>
      </w:r>
      <w:r>
        <w:rPr>
          <w:rFonts w:ascii="Times New Roman;serif" w:hAnsi="Times New Roman;serif"/>
          <w:b w:val="false"/>
          <w:color w:val="000000"/>
          <w:sz w:val="22"/>
        </w:rPr>
        <w:t xml:space="preserve">(i) any transactions approved or permitted by the Borrower’s “Related Party Transaction Policy” and (ii) transactions that are made in the ordinary course of business, in each case, at prices and on terms and conditions not less favorable to the Borrower or such Subsidiary than could be obtained on an arm’s-length basis from unrelated third parties; </w:t>
      </w:r>
    </w:p>
    <w:p>
      <w:pPr>
        <w:pStyle w:val="TextBody"/>
        <w:bidi w:val="0"/>
        <w:spacing w:lineRule="auto" w:line="240" w:before="0" w:after="240"/>
        <w:ind w:left="0" w:right="0" w:firstLine="1440"/>
        <w:jc w:val="both"/>
        <w:rPr/>
      </w:pPr>
      <w:bookmarkStart w:id="494" w:name="i68de6b9760ec434f93d1c930e0ee210d"/>
      <w:bookmarkEnd w:id="494"/>
      <w:r>
        <w:rPr>
          <w:rFonts w:ascii="Times New Roman;serif" w:hAnsi="Times New Roman;serif"/>
          <w:b w:val="false"/>
          <w:color w:val="000000"/>
          <w:sz w:val="22"/>
        </w:rPr>
        <w:t>(d)</w:t>
      </w:r>
      <w:r>
        <w:rPr>
          <w:rFonts w:ascii="Times New Roman;serif" w:hAnsi="Times New Roman;serif"/>
          <w:b w:val="false"/>
          <w:color w:val="000000"/>
          <w:sz w:val="22"/>
        </w:rPr>
        <w:t xml:space="preserve">any transactions existing as of the Closing Date and set forth on </w:t>
      </w:r>
      <w:r>
        <w:rPr>
          <w:rFonts w:ascii="Times New Roman;serif" w:hAnsi="Times New Roman;serif"/>
          <w:b w:val="false"/>
          <w:color w:val="000000"/>
          <w:sz w:val="22"/>
          <w:u w:val="single"/>
        </w:rPr>
        <w:t>Schedule 7.7</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495" w:name="i615d5cf15ecc4c8cb2365cfb9291175b"/>
      <w:bookmarkEnd w:id="495"/>
      <w:r>
        <w:rPr>
          <w:rFonts w:ascii="Times New Roman;serif" w:hAnsi="Times New Roman;serif"/>
          <w:b w:val="false"/>
          <w:color w:val="000000"/>
          <w:sz w:val="22"/>
        </w:rPr>
        <w:t>(e)</w:t>
      </w:r>
      <w:r>
        <w:rPr>
          <w:rFonts w:ascii="Times New Roman;serif" w:hAnsi="Times New Roman;serif"/>
          <w:b w:val="false"/>
          <w:color w:val="000000"/>
          <w:sz w:val="22"/>
        </w:rPr>
        <w:t xml:space="preserve">(i) employment, severance and other compensatory arrangements between the Borrower and its Subsidiaries and their respective current or former officers, directors, members of management, consultants and employees in the ordinary course of business or as otherwise approved by the Borrower’s board of directors and (ii) transactions pursuant to equity award plans and employee benefit plans and arrangements, in each case solely to the extent attributable to the ownership or operations of the Borrower and its Subsidiaries; </w:t>
      </w:r>
    </w:p>
    <w:p>
      <w:pPr>
        <w:pStyle w:val="TextBody"/>
        <w:bidi w:val="0"/>
        <w:spacing w:lineRule="auto" w:line="240" w:before="0" w:after="240"/>
        <w:ind w:left="0" w:right="0" w:firstLine="1440"/>
        <w:jc w:val="both"/>
        <w:rPr/>
      </w:pPr>
      <w:bookmarkStart w:id="496" w:name="ibf83e15945604e48bb98b2652ed1fe51"/>
      <w:bookmarkEnd w:id="496"/>
      <w:r>
        <w:rPr>
          <w:rFonts w:ascii="Times New Roman;serif" w:hAnsi="Times New Roman;serif"/>
          <w:b w:val="false"/>
          <w:color w:val="000000"/>
          <w:sz w:val="22"/>
        </w:rPr>
        <w:t>(f)</w:t>
      </w:r>
      <w:r>
        <w:rPr>
          <w:rFonts w:ascii="Times New Roman;serif" w:hAnsi="Times New Roman;serif"/>
          <w:b w:val="false"/>
          <w:color w:val="000000"/>
          <w:sz w:val="22"/>
        </w:rPr>
        <w:t xml:space="preserve">the payment of customary fees and reimbursement of reasonable out-of-pocket costs of, and customary indemnities provided to or on behalf of, directors, officers, members of management, consultants and employees of the Borrower and its Subsidiaries, to the extent attributable to the ownership or operations of the Borrower and its Subsidiaries, as determined in good faith by the board of directors or senior management of the relevant Person; </w:t>
      </w:r>
    </w:p>
    <w:p>
      <w:pPr>
        <w:pStyle w:val="TextBody"/>
        <w:bidi w:val="0"/>
        <w:spacing w:lineRule="auto" w:line="240" w:before="0" w:after="240"/>
        <w:ind w:left="0" w:right="0" w:firstLine="1440"/>
        <w:jc w:val="both"/>
        <w:rPr/>
      </w:pPr>
      <w:bookmarkStart w:id="497" w:name="i2638069cb6f94d18bc1990dd40820ee0"/>
      <w:bookmarkEnd w:id="497"/>
      <w:r>
        <w:rPr>
          <w:rFonts w:ascii="Times New Roman;serif" w:hAnsi="Times New Roman;serif"/>
          <w:b w:val="false"/>
          <w:color w:val="000000"/>
          <w:sz w:val="22"/>
        </w:rPr>
        <w:t>(g)</w:t>
      </w:r>
      <w:r>
        <w:rPr>
          <w:rFonts w:ascii="Times New Roman;serif" w:hAnsi="Times New Roman;serif"/>
          <w:b w:val="false"/>
          <w:color w:val="000000"/>
          <w:sz w:val="22"/>
        </w:rPr>
        <w:t>the payment of reasonable out-of-pocket costs and expenses related to registration rights and indemnities provided to shareholders under any shareholder agreement;</w:t>
      </w:r>
    </w:p>
    <w:p>
      <w:pPr>
        <w:pStyle w:val="TextBody"/>
        <w:bidi w:val="0"/>
        <w:spacing w:lineRule="auto" w:line="240" w:before="0" w:after="240"/>
        <w:ind w:left="0" w:right="0" w:firstLine="1440"/>
        <w:jc w:val="both"/>
        <w:rPr/>
      </w:pPr>
      <w:bookmarkStart w:id="498" w:name="i615b7db32867442a954f8b06fed90b1b"/>
      <w:bookmarkEnd w:id="498"/>
      <w:r>
        <w:rPr>
          <w:rFonts w:ascii="Times New Roman;serif" w:hAnsi="Times New Roman;serif"/>
          <w:b w:val="false"/>
          <w:color w:val="000000"/>
          <w:sz w:val="22"/>
        </w:rPr>
        <w:t>(h)</w:t>
      </w:r>
      <w:r>
        <w:rPr>
          <w:rFonts w:ascii="Times New Roman;serif" w:hAnsi="Times New Roman;serif"/>
          <w:b w:val="false"/>
          <w:color w:val="000000"/>
          <w:sz w:val="22"/>
        </w:rPr>
        <w:t xml:space="preserve">issuances by the Borrower and its Subsidiaries of Capital Stock not prohibited hereunder; </w:t>
      </w:r>
    </w:p>
    <w:p>
      <w:pPr>
        <w:pStyle w:val="TextBody"/>
        <w:bidi w:val="0"/>
        <w:spacing w:lineRule="auto" w:line="240" w:before="0" w:after="240"/>
        <w:ind w:left="0" w:right="0" w:firstLine="1440"/>
        <w:jc w:val="both"/>
        <w:rPr/>
      </w:pPr>
      <w:bookmarkStart w:id="499" w:name="i34b49509a6124b8f82bf1919cf7aa2b9"/>
      <w:bookmarkEnd w:id="499"/>
      <w:r>
        <w:rPr>
          <w:rFonts w:ascii="Times New Roman;serif" w:hAnsi="Times New Roman;serif"/>
          <w:b w:val="false"/>
          <w:color w:val="000000"/>
          <w:sz w:val="22"/>
        </w:rPr>
        <w:t>(i)</w:t>
      </w:r>
      <w:r>
        <w:rPr>
          <w:rFonts w:ascii="Times New Roman;serif" w:hAnsi="Times New Roman;serif"/>
          <w:b w:val="false"/>
          <w:color w:val="000000"/>
          <w:sz w:val="22"/>
        </w:rPr>
        <w:t>payments to or from, and transactions with, joint venture entities in the ordinary course of business; and</w:t>
      </w:r>
    </w:p>
    <w:p>
      <w:pPr>
        <w:pStyle w:val="TextBody"/>
        <w:bidi w:val="0"/>
        <w:spacing w:lineRule="auto" w:line="240" w:before="0" w:after="240"/>
        <w:ind w:left="0" w:right="0" w:firstLine="1440"/>
        <w:jc w:val="both"/>
        <w:rPr/>
      </w:pPr>
      <w:bookmarkStart w:id="500" w:name="ic4fb9d6e0fbd4e998d675633a9e11787"/>
      <w:bookmarkEnd w:id="500"/>
      <w:r>
        <w:rPr>
          <w:rFonts w:ascii="Times New Roman;serif" w:hAnsi="Times New Roman;serif"/>
          <w:b w:val="false"/>
          <w:color w:val="000000"/>
          <w:sz w:val="22"/>
        </w:rPr>
        <w:t>(j)</w:t>
      </w:r>
      <w:r>
        <w:rPr>
          <w:rFonts w:ascii="Times New Roman;serif" w:hAnsi="Times New Roman;serif"/>
          <w:b w:val="false"/>
          <w:color w:val="000000"/>
          <w:sz w:val="22"/>
        </w:rPr>
        <w:t xml:space="preserve">any Restricted Payment permitted by </w:t>
      </w:r>
      <w:r>
        <w:rPr>
          <w:rFonts w:ascii="Times New Roman;serif" w:hAnsi="Times New Roman;serif"/>
          <w:b w:val="false"/>
          <w:color w:val="000000"/>
          <w:sz w:val="22"/>
          <w:u w:val="single"/>
        </w:rPr>
        <w:t>Section 7.5</w:t>
      </w:r>
      <w:r>
        <w:rPr>
          <w:rFonts w:ascii="Times New Roman;serif" w:hAnsi="Times New Roman;serif"/>
          <w:b w:val="false"/>
          <w:color w:val="000000"/>
          <w:sz w:val="22"/>
        </w:rPr>
        <w:t>.</w:t>
      </w:r>
    </w:p>
    <w:p>
      <w:pPr>
        <w:pStyle w:val="TextBody"/>
        <w:bidi w:val="0"/>
        <w:spacing w:lineRule="auto" w:line="240"/>
        <w:ind w:left="0" w:right="0" w:firstLine="720"/>
        <w:jc w:val="both"/>
        <w:rPr/>
      </w:pPr>
      <w:bookmarkStart w:id="501" w:name="i4951b750784c43c68bb3d265ef954bea"/>
      <w:bookmarkEnd w:id="501"/>
      <w:r>
        <w:rPr>
          <w:rFonts w:ascii="Times New Roman;serif" w:hAnsi="Times New Roman;serif"/>
          <w:b/>
          <w:color w:val="000000"/>
          <w:sz w:val="22"/>
        </w:rPr>
        <w:t>Section 7.8</w:t>
      </w:r>
      <w:r>
        <w:rPr>
          <w:rFonts w:ascii="Times New Roman;serif" w:hAnsi="Times New Roman;serif"/>
          <w:b/>
          <w:color w:val="000000"/>
          <w:sz w:val="22"/>
          <w:u w:val="single"/>
        </w:rPr>
        <w:t>Restrictive Agreements</w:t>
      </w:r>
      <w:r>
        <w:rPr>
          <w:rFonts w:ascii="Times New Roman;serif" w:hAnsi="Times New Roman;serif"/>
          <w:b w:val="false"/>
          <w:color w:val="000000"/>
          <w:sz w:val="22"/>
        </w:rPr>
        <w:t xml:space="preserve">. The Borrower will not, and will not permit any of its Subsidiaries to, directly or indirectly, enter into, incur or permit to exist any agreement that prohibits, restricts or imposes any condition upon (a) the ability of the Borrower or any of its Subsidiaries to create, incur or permit any Lien upon any of its assets or properties, whether now owned or hereafter acquired, or (b) the ability of any of its Subsidiaries to pay dividends or other distributions with respect to its Capital Stock, to make or repay loans or advances to the Borrower or any other Subsidiary thereof, to Guarantee Indebtedness of the Borrower or any other Subsidiary thereof or to transfer any of its property or assets to the Borrower or any other Subsidiary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foregoing shall not apply to restrictions or conditions imposed by law or by this Agreement or any other Loan Document, (ii) the foregoing shall not apply to customary restrictions and conditions contained in agreements relating to the sale of a Subsidiary pending such sale, provided such restrictions and conditions apply only to the Subsidiary that is sold and such sale is permitted hereunder, (iii) clause (a) shall not apply to restrictions or conditions imposed by any agreement relating to secured Indebtedness permitted by this Agreement if such restrictions and conditions apply only to the property or assets securing such Indebtedness, (iv) clause (a) shall not apply to customary provisions in leases restricting the assignment thereof, (v) the foregoing shall not apply to Excluded Subsidiaries or the Capital Stock of Excluded Subsidiaries, (vi) the foregoing shall not apply to restrictions under any Assumed Indebtedness to the extent relating solely to the applicable assets or Persons acquired after the Closing Date in connection with the assumption of such Indebtedness, (vii) the foregoing shall not apply to restrictions in leases of Real Estate binding upon the tenants thereunder (or guarantors thereof), (viii) the foregoing shall not apply to Indebtedness permitted under </w:t>
      </w:r>
      <w:r>
        <w:rPr>
          <w:rFonts w:ascii="Times New Roman;serif" w:hAnsi="Times New Roman;serif"/>
          <w:b w:val="false"/>
          <w:color w:val="000000"/>
          <w:sz w:val="22"/>
          <w:u w:val="single"/>
        </w:rPr>
        <w:t>Section 7.1(u)</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to the extent the restrictions thereunder are no more restrictive, in any material respect, taken as a whole, than such restrictions contained herein, (ix) the foregoing shall not apply to customary restrictions in joint venture arrangements, provided that such restrictions are limited to the assets of such joint ventures and the Capital Stock of the Persons party to such joint venture arrangements, and (x) the foregoing shall not apply to customary non-assignment provisions in contracts entered into in the ordinary course of business, provided that such restrictions are limited to the assets subject to such contracts and the Capital Stock of the Persons party to such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036955"/>
                <wp:effectExtent l="0" t="0" r="0" b="0"/>
                <wp:wrapNone/>
                <wp:docPr id="246" name="Frame24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w:t>
                      </w:r>
                    </w:p>
                  </w:txbxContent>
                </v:textbox>
                <w10:wrap type="none"/>
              </v:rect>
            </w:pict>
          </mc:Fallback>
        </mc:AlternateContent>
      </w:r>
    </w:p>
    <w:p>
      <w:pPr>
        <w:pStyle w:val="TextBody"/>
        <w:bidi w:val="0"/>
        <w:spacing w:lineRule="auto" w:line="240" w:before="0" w:after="0"/>
        <w:ind w:left="0" w:right="0" w:firstLine="720"/>
        <w:jc w:val="both"/>
        <w:rPr/>
      </w:pPr>
      <w:bookmarkStart w:id="502" w:name="id1214cfa667b4111a10fcddd7a4c7316"/>
      <w:bookmarkEnd w:id="502"/>
      <w:r>
        <w:rPr>
          <w:rFonts w:ascii="Times New Roman;serif" w:hAnsi="Times New Roman;serif"/>
          <w:b/>
          <w:color w:val="000000"/>
          <w:sz w:val="22"/>
        </w:rPr>
        <w:t>Section 7.9</w:t>
      </w:r>
      <w:r>
        <w:rPr>
          <w:rFonts w:ascii="Times New Roman;serif" w:hAnsi="Times New Roman;serif"/>
          <w:b/>
          <w:color w:val="000000"/>
          <w:sz w:val="22"/>
          <w:u w:val="single"/>
        </w:rPr>
        <w:t>Sale and Leaseback Transactions</w:t>
      </w:r>
      <w:r>
        <w:rPr>
          <w:rFonts w:ascii="Times New Roman;serif" w:hAnsi="Times New Roman;serif"/>
          <w:b w:val="false"/>
          <w:color w:val="000000"/>
          <w:sz w:val="22"/>
        </w:rPr>
        <w:t>. The Borrower will not, and will not permit any of its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w:t>
      </w:r>
    </w:p>
    <w:p>
      <w:pPr>
        <w:pStyle w:val="TextBody"/>
        <w:bidi w:val="0"/>
        <w:spacing w:lineRule="auto" w:line="240" w:before="0" w:after="0"/>
        <w:ind w:left="0" w:right="0" w:firstLine="720"/>
        <w:jc w:val="both"/>
        <w:rPr/>
      </w:pPr>
      <w:bookmarkStart w:id="503" w:name="ifa1879725e3b4399b9483add97526246"/>
      <w:bookmarkEnd w:id="503"/>
      <w:r>
        <w:rPr>
          <w:rFonts w:ascii="Times New Roman;serif" w:hAnsi="Times New Roman;serif"/>
          <w:b/>
          <w:color w:val="000000"/>
          <w:sz w:val="22"/>
        </w:rPr>
        <w:t>Section 7.10</w:t>
      </w:r>
      <w:r>
        <w:rPr>
          <w:rFonts w:ascii="Times New Roman;serif" w:hAnsi="Times New Roman;serif"/>
          <w:b/>
          <w:color w:val="000000"/>
          <w:sz w:val="22"/>
          <w:u w:val="single"/>
        </w:rPr>
        <w:t>Hedging Transactions</w:t>
      </w:r>
      <w:r>
        <w:rPr>
          <w:rFonts w:ascii="Times New Roman;serif" w:hAnsi="Times New Roman;serif"/>
          <w:b w:val="false"/>
          <w:color w:val="000000"/>
          <w:sz w:val="22"/>
        </w:rPr>
        <w:t>. The Borrower will not, and will not permit any of its Subsidiaries to, enter into any Hedging Transaction, other than Hedging Transactions entered into in the ordinary course of business to hedge or mitigate risks to which the Borrower or any of its Subsidiaries is exposed in the conduct of its business or the management of its liabilities. Solely for the avoidance of doubt, the Borrower acknowledges that a Hedging Transaction entered into for speculative purposes or of a speculative nature (which shall be deemed to include any Hedging Transaction under which the Borrower or any of its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pStyle w:val="TextBody"/>
        <w:bidi w:val="0"/>
        <w:spacing w:lineRule="auto" w:line="240" w:before="0" w:after="0"/>
        <w:ind w:left="0" w:right="0" w:firstLine="720"/>
        <w:jc w:val="both"/>
        <w:rPr/>
      </w:pPr>
      <w:bookmarkStart w:id="504" w:name="id4ecb927dacc4378aa3cec302d9de8a4"/>
      <w:bookmarkEnd w:id="504"/>
      <w:r>
        <w:rPr>
          <w:rFonts w:ascii="Times New Roman;serif" w:hAnsi="Times New Roman;serif"/>
          <w:b/>
          <w:color w:val="000000"/>
          <w:sz w:val="22"/>
        </w:rPr>
        <w:t>Section 7.11</w:t>
      </w:r>
      <w:r>
        <w:rPr>
          <w:rFonts w:ascii="Times New Roman;serif" w:hAnsi="Times New Roman;serif"/>
          <w:b/>
          <w:color w:val="000000"/>
          <w:sz w:val="22"/>
          <w:u w:val="single"/>
        </w:rPr>
        <w:t>Amendment to Material Documents</w:t>
      </w:r>
      <w:r>
        <w:rPr>
          <w:rFonts w:ascii="Times New Roman;serif" w:hAnsi="Times New Roman;serif"/>
          <w:b w:val="false"/>
          <w:color w:val="000000"/>
          <w:sz w:val="22"/>
        </w:rPr>
        <w:t xml:space="preserve">. The Borrower will not, and will not permit any of its Subsidiaries to, amend, modify or waive any of its rights under (a) its certificate of incorporation, bylaws or other organizational documents, (b) the 2029 Convertible Notes solely to the extent such amendment, modification or waiver has the effect of (i) increasing the overall principal amount of any such Indebtedness or (ii) shortening the final maturity date of such Indebtedness or (c) any document governing any Material Indebtedness that is contractually subordinated in right of payment to the Obligations, in each case, in any manner materially adverse to the interests of the Lenders or the Administrative Agent (in their respective capacities as such). </w:t>
      </w:r>
    </w:p>
    <w:p>
      <w:pPr>
        <w:pStyle w:val="TextBody"/>
        <w:bidi w:val="0"/>
        <w:spacing w:lineRule="auto" w:line="240" w:before="0" w:after="0"/>
        <w:ind w:left="0" w:right="0" w:firstLine="720"/>
        <w:jc w:val="both"/>
        <w:rPr/>
      </w:pPr>
      <w:bookmarkStart w:id="505" w:name="i225a0b220109487c8c400b0dc1991540"/>
      <w:bookmarkEnd w:id="505"/>
      <w:r>
        <w:rPr>
          <w:rFonts w:ascii="Times New Roman;serif" w:hAnsi="Times New Roman;serif"/>
          <w:b/>
          <w:color w:val="000000"/>
          <w:sz w:val="22"/>
        </w:rPr>
        <w:t>Section 7.12</w:t>
      </w:r>
      <w:r>
        <w:rPr>
          <w:rFonts w:ascii="Times New Roman;serif" w:hAnsi="Times New Roman;serif"/>
          <w:b/>
          <w:color w:val="000000"/>
          <w:sz w:val="22"/>
          <w:u w:val="single"/>
        </w:rPr>
        <w:t>Outbound Investment Rules</w:t>
      </w:r>
      <w:r>
        <w:rPr>
          <w:rFonts w:ascii="Times New Roman;serif" w:hAnsi="Times New Roman;serif"/>
          <w:b w:val="false"/>
          <w:color w:val="000000"/>
          <w:sz w:val="22"/>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Agent or the Lenders to be legally prohibited by the Outbound Investment Rules from performing under this Agreement.</w:t>
      </w:r>
    </w:p>
    <w:p>
      <w:pPr>
        <w:pStyle w:val="TextBody"/>
        <w:bidi w:val="0"/>
        <w:spacing w:lineRule="auto" w:line="240" w:before="0" w:after="0"/>
        <w:ind w:left="0" w:right="0" w:firstLine="720"/>
        <w:jc w:val="both"/>
        <w:rPr/>
      </w:pPr>
      <w:bookmarkStart w:id="506" w:name="ic6589c5fda274fa1aab9e69be831418d"/>
      <w:bookmarkEnd w:id="506"/>
      <w:r>
        <w:rPr>
          <w:rFonts w:ascii="Times New Roman;serif" w:hAnsi="Times New Roman;serif"/>
          <w:b/>
          <w:color w:val="000000"/>
          <w:sz w:val="22"/>
        </w:rPr>
        <w:t>Section 7.13</w:t>
      </w:r>
      <w:r>
        <w:rPr>
          <w:rFonts w:ascii="Times New Roman;serif" w:hAnsi="Times New Roman;serif"/>
          <w:b/>
          <w:color w:val="000000"/>
          <w:sz w:val="22"/>
          <w:u w:val="single"/>
        </w:rPr>
        <w:t>Accounting Changes</w:t>
      </w:r>
      <w:r>
        <w:rPr>
          <w:rFonts w:ascii="Times New Roman;serif" w:hAnsi="Times New Roman;serif"/>
          <w:b w:val="false"/>
          <w:color w:val="000000"/>
          <w:sz w:val="22"/>
        </w:rPr>
        <w:t>. The Borrower will not, and will not permit any of its Subsidiaries to, make any significant change in accounting treatment or reporting practices, except as required or permitted by GAAP, or change the fiscal year of the Borrower or of any of its Subsidiaries, except to change the fiscal year of a Subsidiary to conform its fiscal year to that of the Borrower.</w:t>
      </w:r>
    </w:p>
    <w:p>
      <w:pPr>
        <w:pStyle w:val="TextBody"/>
        <w:bidi w:val="0"/>
        <w:spacing w:lineRule="auto" w:line="240" w:before="0" w:after="0"/>
        <w:ind w:left="0" w:right="0" w:firstLine="720"/>
        <w:jc w:val="both"/>
        <w:rPr/>
      </w:pPr>
      <w:bookmarkStart w:id="507" w:name="ic49f5439a46a40c789971629a4cf06b6"/>
      <w:bookmarkEnd w:id="507"/>
      <w:r>
        <w:rPr>
          <w:rFonts w:ascii="Times New Roman;serif" w:hAnsi="Times New Roman;serif"/>
          <w:b/>
          <w:color w:val="000000"/>
          <w:sz w:val="22"/>
        </w:rPr>
        <w:t>Section 7.14</w:t>
      </w:r>
      <w:r>
        <w:rPr>
          <w:rFonts w:ascii="Times New Roman;serif" w:hAnsi="Times New Roman;serif"/>
          <w:b/>
          <w:color w:val="000000"/>
          <w:sz w:val="22"/>
          <w:u w:val="single"/>
        </w:rPr>
        <w:t>Sanctions and Anti-Corruption Laws</w:t>
      </w:r>
      <w:r>
        <w:rPr>
          <w:rFonts w:ascii="Times New Roman;serif" w:hAnsi="Times New Roman;serif"/>
          <w:b w:val="false"/>
          <w:color w:val="000000"/>
          <w:sz w:val="22"/>
        </w:rPr>
        <w:t>. The Borrower will not, and will not permit any Subsidiary to, request any Loan or Letter of Credit or, directly or indirectly, use the proceeds of any Loan or any Letter of Credit,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(ii) in any other manner that would result in a violation of Sanctions by any Person (including any Person participating in the Loans or Letters of Credit, whether as an Arranger, the Administrative Agent, any Lender (including a Swingline Lender), any Issuing Bank, underwriter, advisor, investor or otherwise), or (iii) in furtherance of an offer, payment, promise to pay or authorization of the payment or giving of money or anything else of value to any Person in violation of applicable Anti-Corruption Laws.</w:t>
      </w:r>
    </w:p>
    <w:p>
      <w:pPr>
        <w:pStyle w:val="TextBody"/>
        <w:bidi w:val="0"/>
        <w:spacing w:lineRule="auto" w:line="240" w:before="0" w:after="240"/>
        <w:jc w:val="center"/>
        <w:rPr/>
      </w:pPr>
      <w:bookmarkStart w:id="508" w:name="i0ecd24fca3bd4a2c85c9f8817e01bf1c"/>
      <w:bookmarkEnd w:id="508"/>
      <w:r>
        <w:rPr>
          <w:rFonts w:ascii="Times New Roman;serif" w:hAnsi="Times New Roman;serif"/>
          <w:b/>
          <w:color w:val="000000"/>
          <w:sz w:val="22"/>
        </w:rPr>
        <w:t>Article VIII</w:t>
      </w:r>
      <w:r>
        <w:rPr>
          <w:rFonts w:ascii="Times New Roman;serif" w:hAnsi="Times New Roman;serif"/>
          <w:b/>
          <w:color w:val="000000"/>
          <w:sz w:val="22"/>
          <w:u w:val="single"/>
        </w:rPr>
        <w:br/>
        <w:br/>
        <w:t>EVENTS OF DEFAULT</w:t>
      </w:r>
    </w:p>
    <w:p>
      <w:pPr>
        <w:pStyle w:val="TextBody"/>
        <w:bidi w:val="0"/>
        <w:spacing w:lineRule="auto" w:line="240" w:before="0" w:after="0"/>
        <w:ind w:left="0" w:right="0" w:firstLine="720"/>
        <w:jc w:val="both"/>
        <w:rPr/>
      </w:pPr>
      <w:bookmarkStart w:id="509" w:name="icc7f842c071342d48b40e042991a3ab5"/>
      <w:bookmarkEnd w:id="509"/>
      <w:r>
        <w:rPr>
          <w:rFonts w:ascii="Times New Roman;serif" w:hAnsi="Times New Roman;serif"/>
          <w:b/>
          <w:color w:val="000000"/>
          <w:sz w:val="22"/>
        </w:rPr>
        <w:t>Section 8.1</w:t>
      </w:r>
      <w:r>
        <w:rPr>
          <w:rFonts w:ascii="Times New Roman;serif" w:hAnsi="Times New Roman;serif"/>
          <w:b/>
          <w:color w:val="000000"/>
          <w:sz w:val="22"/>
          <w:u w:val="single"/>
        </w:rPr>
        <w:t>Events of Default</w:t>
      </w:r>
      <w:r>
        <w:rPr>
          <w:rFonts w:ascii="Times New Roman;serif" w:hAnsi="Times New Roman;serif"/>
          <w:b w:val="false"/>
          <w:color w:val="000000"/>
          <w:sz w:val="22"/>
        </w:rPr>
        <w:t>. If any of the following events (each,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xml:space="preserve">) shall occur: </w:t>
      </w:r>
    </w:p>
    <w:p>
      <w:pPr>
        <w:pStyle w:val="TextBody"/>
        <w:bidi w:val="0"/>
        <w:spacing w:lineRule="auto" w:line="240" w:before="0" w:after="240"/>
        <w:ind w:left="0" w:right="0" w:firstLine="1440"/>
        <w:jc w:val="both"/>
        <w:rPr/>
      </w:pPr>
      <w:bookmarkStart w:id="510" w:name="i3b77c9c4311c42b7a4f85124074b5a94"/>
      <w:bookmarkEnd w:id="510"/>
      <w:r>
        <w:rPr>
          <w:rFonts w:ascii="Times New Roman;serif" w:hAnsi="Times New Roman;serif"/>
          <w:b w:val="false"/>
          <w:color w:val="000000"/>
          <w:sz w:val="22"/>
        </w:rPr>
        <w:t>(a)</w:t>
      </w:r>
      <w:r>
        <w:rPr>
          <w:rFonts w:ascii="Times New Roman;serif" w:hAnsi="Times New Roman;serif"/>
          <w:b w:val="false"/>
          <w:color w:val="000000"/>
          <w:sz w:val="22"/>
        </w:rPr>
        <w:t>the Borrower shall fail to pay any principal of any Loan or of any reimbursement obligation in respect of any LC Disbursement, when and as the same shall become due and payable, whether at the due date thereof or at a date fixed for prepayment or otherwise; or</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036955"/>
                <wp:effectExtent l="0" t="0" r="0" b="0"/>
                <wp:wrapNone/>
                <wp:docPr id="247" name="Frame24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121</w:t>
                      </w:r>
                    </w:p>
                  </w:txbxContent>
                </v:textbox>
                <w10:wrap type="none"/>
              </v:rect>
            </w:pict>
          </mc:Fallback>
        </mc:AlternateContent>
      </w:r>
    </w:p>
    <w:p>
      <w:pPr>
        <w:pStyle w:val="TextBody"/>
        <w:bidi w:val="0"/>
        <w:spacing w:lineRule="auto" w:line="240" w:before="0" w:after="240"/>
        <w:ind w:left="0" w:right="0" w:firstLine="1440"/>
        <w:jc w:val="both"/>
        <w:rPr/>
      </w:pPr>
      <w:bookmarkStart w:id="511" w:name="i6fa8e98005e3465a81dda7d5a30ba32e"/>
      <w:bookmarkEnd w:id="511"/>
      <w:r>
        <w:rPr>
          <w:rFonts w:ascii="Times New Roman;serif" w:hAnsi="Times New Roman;serif"/>
          <w:b w:val="false"/>
          <w:color w:val="000000"/>
          <w:sz w:val="22"/>
        </w:rPr>
        <w:t>(b)</w:t>
      </w:r>
      <w:r>
        <w:rPr>
          <w:rFonts w:ascii="Times New Roman;serif" w:hAnsi="Times New Roman;serif"/>
          <w:b w:val="false"/>
          <w:color w:val="000000"/>
          <w:sz w:val="22"/>
        </w:rPr>
        <w:t>the Borrower shall fail to pay any interest on any Loan or any fee or any other amount (other than an amount payable under subsection (a) of this Section or an amount related to a Bank Product Obligation) payable under this Agreement or any other Loan Document, when and as the same shall become due and payable, and such failure shall continue unremedied for a period of five (5) Business Days; or</w:t>
      </w:r>
    </w:p>
    <w:p>
      <w:pPr>
        <w:pStyle w:val="TextBody"/>
        <w:bidi w:val="0"/>
        <w:spacing w:lineRule="auto" w:line="240" w:before="0" w:after="240"/>
        <w:ind w:left="0" w:right="0" w:firstLine="1440"/>
        <w:jc w:val="both"/>
        <w:rPr/>
      </w:pPr>
      <w:bookmarkStart w:id="512" w:name="i33df56e14e7d47e18fb6c348aa2ca136"/>
      <w:bookmarkEnd w:id="512"/>
      <w:r>
        <w:rPr>
          <w:rFonts w:ascii="Times New Roman;serif" w:hAnsi="Times New Roman;serif"/>
          <w:b w:val="false"/>
          <w:color w:val="000000"/>
          <w:sz w:val="22"/>
        </w:rPr>
        <w:t>(c)</w:t>
      </w:r>
      <w:r>
        <w:rPr>
          <w:rFonts w:ascii="Times New Roman;serif" w:hAnsi="Times New Roman;serif"/>
          <w:b w:val="false"/>
          <w:color w:val="000000"/>
          <w:sz w:val="22"/>
        </w:rPr>
        <w:t>any representation or warranty made or deemed made by or on behalf of the Borrower or any of its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pStyle w:val="TextBody"/>
        <w:bidi w:val="0"/>
        <w:spacing w:lineRule="auto" w:line="240" w:before="0" w:after="240"/>
        <w:ind w:left="0" w:right="0" w:firstLine="1440"/>
        <w:jc w:val="both"/>
        <w:rPr/>
      </w:pPr>
      <w:bookmarkStart w:id="513" w:name="i12d1a32777aa4f14a9b79c51fa965f93"/>
      <w:bookmarkEnd w:id="513"/>
      <w:r>
        <w:rPr>
          <w:rFonts w:ascii="Times New Roman;serif" w:hAnsi="Times New Roman;serif"/>
          <w:b w:val="false"/>
          <w:color w:val="000000"/>
          <w:sz w:val="22"/>
        </w:rPr>
        <w:t>(d)</w:t>
      </w:r>
      <w:r>
        <w:rPr>
          <w:rFonts w:ascii="Times New Roman;serif" w:hAnsi="Times New Roman;serif"/>
          <w:b w:val="false"/>
          <w:color w:val="000000"/>
          <w:sz w:val="22"/>
        </w:rPr>
        <w:t xml:space="preserve">the Borrower shall fail to observe or perform any covenant or agreement contained in </w:t>
      </w:r>
      <w:r>
        <w:rPr>
          <w:rFonts w:ascii="Times New Roman;serif" w:hAnsi="Times New Roman;serif"/>
          <w:b w:val="false"/>
          <w:color w:val="000000"/>
          <w:sz w:val="22"/>
          <w:u w:val="single"/>
        </w:rPr>
        <w:t>Section 5.2(a)(i)</w:t>
      </w:r>
      <w:r>
        <w:rPr>
          <w:color w:val="000000"/>
        </w:rPr>
        <w:t xml:space="preserve"> </w:t>
      </w:r>
      <w:r>
        <w:rPr>
          <w:rFonts w:ascii="Times New Roman;serif" w:hAnsi="Times New Roman;serif"/>
          <w:b w:val="false"/>
          <w:color w:val="000000"/>
          <w:sz w:val="22"/>
        </w:rPr>
        <w:t>or</w:t>
      </w:r>
      <w:r>
        <w:rPr>
          <w:color w:val="000000"/>
          <w:u w:val="single"/>
        </w:rPr>
        <w:t xml:space="preserve"> </w:t>
      </w:r>
      <w:r>
        <w:rPr>
          <w:rFonts w:ascii="Times New Roman;serif" w:hAnsi="Times New Roman;serif"/>
          <w:b w:val="false"/>
          <w:color w:val="000000"/>
          <w:sz w:val="22"/>
          <w:u w:val="single"/>
        </w:rPr>
        <w:t>5.3</w:t>
      </w:r>
      <w:r>
        <w:rPr>
          <w:color w:val="000000"/>
        </w:rPr>
        <w:t xml:space="preserve"> </w:t>
      </w:r>
      <w:r>
        <w:rPr>
          <w:rFonts w:ascii="Times New Roman;serif" w:hAnsi="Times New Roman;serif"/>
          <w:b w:val="false"/>
          <w:color w:val="000000"/>
          <w:sz w:val="22"/>
        </w:rPr>
        <w:t xml:space="preserve">(with respect to the Borrower’s legal existence) or </w:t>
      </w:r>
      <w:r>
        <w:rPr>
          <w:rFonts w:ascii="Times New Roman;serif" w:hAnsi="Times New Roman;serif"/>
          <w:b w:val="false"/>
          <w:color w:val="000000"/>
          <w:sz w:val="22"/>
          <w:u w:val="single"/>
        </w:rPr>
        <w:t xml:space="preserve">Article VI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bookmarkStart w:id="514" w:name="i8ff741f67e2a45f9a3eef4a02bb97f46"/>
      <w:bookmarkEnd w:id="514"/>
      <w:r>
        <w:rPr>
          <w:rFonts w:ascii="Times New Roman;serif" w:hAnsi="Times New Roman;serif"/>
          <w:b w:val="false"/>
          <w:color w:val="000000"/>
          <w:sz w:val="22"/>
        </w:rPr>
        <w:t>(e)</w:t>
      </w:r>
      <w:r>
        <w:rPr>
          <w:rFonts w:ascii="Times New Roman;serif" w:hAnsi="Times New Roman;serif"/>
          <w:b w:val="false"/>
          <w:color w:val="000000"/>
          <w:sz w:val="22"/>
        </w:rPr>
        <w:t xml:space="preserve">(i) any Loan Party shall fail to observe or perform any covenant or agreement contained in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5.2(a)(i)</w:t>
      </w:r>
      <w:r>
        <w:rPr>
          <w:rFonts w:ascii="Times New Roman;serif" w:hAnsi="Times New Roman;serif"/>
          <w:b w:val="false"/>
          <w:color w:val="000000"/>
          <w:sz w:val="22"/>
        </w:rPr>
        <w:t>), and such failure shall remain unremedied for 15 days after the earlier of (x) any Responsible Officer of the Borrower becomes aware of such failure, or (y) written notice thereof shall have been given to the Borrower by the Administrative Agent or the Required Lenders, or (ii) any Loan Party shall fail to observe or perform any covenant or agreement contained in this Agreement (other than those referred to in subsections (a), (b), (d) and (e)(i) of this Section) or any other Loan Document, and such failure shall remain unremedied for 30 days after the earlier of (x) any Responsible Officer of the Borrower becomes aware of such failure, or (y) written notice thereof shall have been given to the Borrower by the Administrative Agent or the Required Lenders; or</w:t>
      </w:r>
    </w:p>
    <w:p>
      <w:pPr>
        <w:pStyle w:val="TextBody"/>
        <w:bidi w:val="0"/>
        <w:spacing w:lineRule="auto" w:line="240" w:before="0" w:after="240"/>
        <w:ind w:left="0" w:right="0" w:firstLine="1440"/>
        <w:jc w:val="both"/>
        <w:rPr/>
      </w:pPr>
      <w:bookmarkStart w:id="515" w:name="idc1099a59532443bbf91b3dae1f66552"/>
      <w:bookmarkEnd w:id="515"/>
      <w:r>
        <w:rPr>
          <w:rFonts w:ascii="Times New Roman;serif" w:hAnsi="Times New Roman;serif"/>
          <w:b w:val="false"/>
          <w:color w:val="000000"/>
          <w:sz w:val="22"/>
        </w:rPr>
        <w:t>(f)</w:t>
      </w:r>
      <w:r>
        <w:rPr>
          <w:rFonts w:ascii="Times New Roman;serif" w:hAnsi="Times New Roman;serif"/>
          <w:b w:val="false"/>
          <w:color w:val="000000"/>
          <w:sz w:val="22"/>
        </w:rPr>
        <w:t>(i) the Borrower or any of its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(excluding (i) any prepayment or redemption requirements in connection with a sale of assets that secures Material Indebtedness to the extent such Material Indebtedness is repaid in connection with such sale and (ii) any offer to prepay or redeem Indebtedness of any Person or securing any assets acquired in a Permitted Acquisition); or (ii) there occurs under any Hedging Transaction an Early Termination Date (as defined in such Hedge Transaction) resulting from (A) any event of default under such Hedging Transaction as to which the Borrower or any of its Subsidiaries is the Defaulting Party (as defined in such Hedging Transaction) and the Hedge Termination Value owed by the Borrower or such Subsidiary as a result thereof is greater than the Threshold Amount or (B) any Termination Event (as so defined) under such Hedging Transaction as to which the Borrower or any Subsidiary is an Affected Party (as so defined) and the Hedge Termination Value owed by the Borrower or such Subsidiary as a result thereof is greater than the Threshold Amount and is not paid when due; or</w:t>
      </w:r>
    </w:p>
    <w:p>
      <w:pPr>
        <w:pStyle w:val="TextBody"/>
        <w:bidi w:val="0"/>
        <w:spacing w:lineRule="auto" w:line="240" w:before="0" w:after="240"/>
        <w:ind w:left="0" w:right="0" w:firstLine="1440"/>
        <w:jc w:val="both"/>
        <w:rPr/>
      </w:pPr>
      <w:bookmarkStart w:id="516" w:name="i03916b2507e04a79ad911a90822d2e73"/>
      <w:bookmarkEnd w:id="516"/>
      <w:r>
        <w:rPr>
          <w:rFonts w:ascii="Times New Roman;serif" w:hAnsi="Times New Roman;serif"/>
          <w:b w:val="false"/>
          <w:color w:val="000000"/>
          <w:sz w:val="22"/>
        </w:rPr>
        <w:t>(g)</w:t>
      </w:r>
      <w:r>
        <w:rPr>
          <w:rFonts w:ascii="Times New Roman;serif" w:hAnsi="Times New Roman;serif"/>
          <w:b w:val="false"/>
          <w:color w:val="000000"/>
          <w:sz w:val="22"/>
        </w:rPr>
        <w:t xml:space="preserve">the Borrower or any of its Subsidiaries (other than Immaterial Subsidiaries) shall (i) commence a voluntary case or other proceeding or file any petition seeking liquidation,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036955"/>
                <wp:effectExtent l="0" t="0" r="0" b="0"/>
                <wp:wrapNone/>
                <wp:docPr id="248" name="Frame24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Section, (iii) apply for or consent to the appointment of a custodian, trustee, receiver, liquidator or other similar official for the Borrower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pStyle w:val="TextBody"/>
        <w:bidi w:val="0"/>
        <w:spacing w:lineRule="auto" w:line="240" w:before="0" w:after="240"/>
        <w:ind w:left="0" w:right="0" w:firstLine="1440"/>
        <w:jc w:val="both"/>
        <w:rPr/>
      </w:pPr>
      <w:bookmarkStart w:id="517" w:name="i8fb8a56e00a4459ea24d265b442d8bb7"/>
      <w:bookmarkEnd w:id="517"/>
      <w:r>
        <w:rPr>
          <w:rFonts w:ascii="Times New Roman;serif" w:hAnsi="Times New Roman;serif"/>
          <w:b w:val="false"/>
          <w:color w:val="000000"/>
          <w:sz w:val="22"/>
        </w:rPr>
        <w:t>(h)</w:t>
      </w:r>
      <w:r>
        <w:rPr>
          <w:rFonts w:ascii="Times New Roman;serif" w:hAnsi="Times New Roman;serif"/>
          <w:b w:val="false"/>
          <w:color w:val="000000"/>
          <w:sz w:val="22"/>
        </w:rPr>
        <w:t>an involuntary proceeding shall be commenced or an involuntary petition shall be filed seeking (i) liquidation, reorganization or other relief in respect of the Borrower or any of its Subsidiaries (other than Immaterial Subsidiaries) or its debts, or any substantial part of its assets, under any federal, state or foreign bankruptcy, insolvency or other similar law now or hereafter in effect or (ii) the appointment of a custodian, trustee, receiver, liquidator or other similar official for the Borrower or any of its Subsidiaries (other than Immaterial Subsidiaries) or for a substantial part of its assets, and in any such case, such proceeding or petition shall remain undismissed for a period of 60 days or an order or decree approving or ordering any of the foregoing shall be entered; or</w:t>
      </w:r>
    </w:p>
    <w:p>
      <w:pPr>
        <w:pStyle w:val="TextBody"/>
        <w:bidi w:val="0"/>
        <w:spacing w:lineRule="auto" w:line="240" w:before="0" w:after="240"/>
        <w:ind w:left="0" w:right="0" w:firstLine="1440"/>
        <w:jc w:val="both"/>
        <w:rPr/>
      </w:pPr>
      <w:bookmarkStart w:id="518" w:name="i2fd200b8498c46a5b3b6854301885457"/>
      <w:bookmarkEnd w:id="518"/>
      <w:r>
        <w:rPr>
          <w:rFonts w:ascii="Times New Roman;serif" w:hAnsi="Times New Roman;serif"/>
          <w:b w:val="false"/>
          <w:color w:val="000000"/>
          <w:sz w:val="22"/>
        </w:rPr>
        <w:t>(i)</w:t>
      </w:r>
      <w:r>
        <w:rPr>
          <w:rFonts w:ascii="Times New Roman;serif" w:hAnsi="Times New Roman;serif"/>
          <w:b w:val="false"/>
          <w:color w:val="000000"/>
          <w:sz w:val="22"/>
        </w:rPr>
        <w:t>the Borrower or any of its Subsidiaries (other than Immaterial Subsidiaries) shall become unable to pay, shall admit in writing its inability to pay, or shall fail to pay, its debts as they become due; or</w:t>
      </w:r>
    </w:p>
    <w:p>
      <w:pPr>
        <w:pStyle w:val="TextBody"/>
        <w:bidi w:val="0"/>
        <w:spacing w:lineRule="auto" w:line="240" w:before="0" w:after="240"/>
        <w:ind w:left="0" w:right="0" w:firstLine="1440"/>
        <w:jc w:val="both"/>
        <w:rPr/>
      </w:pPr>
      <w:bookmarkStart w:id="519" w:name="i9c27e536ab484c9fb6381c57326cd1b1"/>
      <w:bookmarkEnd w:id="519"/>
      <w:r>
        <w:rPr>
          <w:rFonts w:ascii="Times New Roman;serif" w:hAnsi="Times New Roman;serif"/>
          <w:b w:val="false"/>
          <w:color w:val="000000"/>
          <w:sz w:val="22"/>
        </w:rPr>
        <w:t>(j)</w:t>
      </w:r>
      <w:r>
        <w:rPr>
          <w:rFonts w:ascii="Times New Roman;serif" w:hAnsi="Times New Roman;serif"/>
          <w:b w:val="false"/>
          <w:color w:val="000000"/>
          <w:sz w:val="22"/>
        </w:rPr>
        <w:t xml:space="preserve">(i) an ERISA Event shall have occurred, (ii) there is or arises an Unfunded Pension Liability (not taking into account Plans with negative Unfunded Pension Liability) in an aggregate amount exceeding the Threshold Amount, or (iii) there is or arises any potential Withdrawal Liability, in each case of the foregoing clauses (i) through (iii), which would reasonably be expected, either individually or in the aggregate, to result in a Material Adverse Effect; or </w:t>
      </w:r>
    </w:p>
    <w:p>
      <w:pPr>
        <w:pStyle w:val="TextBody"/>
        <w:bidi w:val="0"/>
        <w:spacing w:lineRule="auto" w:line="240" w:before="0" w:after="240"/>
        <w:ind w:left="0" w:right="0" w:firstLine="1440"/>
        <w:jc w:val="both"/>
        <w:rPr/>
      </w:pPr>
      <w:bookmarkStart w:id="520" w:name="i2dd2082128fc4ae48cf660a5dbe01a52"/>
      <w:bookmarkEnd w:id="520"/>
      <w:r>
        <w:rPr>
          <w:rFonts w:ascii="Times New Roman;serif" w:hAnsi="Times New Roman;serif"/>
          <w:b w:val="false"/>
          <w:color w:val="000000"/>
          <w:sz w:val="22"/>
        </w:rPr>
        <w:t>(k)</w:t>
      </w:r>
      <w:r>
        <w:rPr>
          <w:rFonts w:ascii="Times New Roman;serif" w:hAnsi="Times New Roman;serif"/>
          <w:b w:val="false"/>
          <w:color w:val="000000"/>
          <w:sz w:val="22"/>
        </w:rPr>
        <w:t>any judgment, order for the payment of money, writ, warrant of attachment or similar process involving an amount in excess of the Threshold Amount in the aggregate, to the extent not adequately covered by insurance as to which a solvent insurance company has not contested or denied coverage, shall be rendered against the Borrower or any of its Subsidiaries, and there shall be a period of 60 consecutive days during which (i) a stay of enforcement of such judgment or order, by reason of a pending appeal or otherwise, shall not be in effect and (ii) such judgment or order shall remain undischarged, unvacated, unsatisfied or unbonded; or</w:t>
      </w:r>
    </w:p>
    <w:p>
      <w:pPr>
        <w:pStyle w:val="TextBody"/>
        <w:bidi w:val="0"/>
        <w:spacing w:lineRule="auto" w:line="240" w:before="0" w:after="240"/>
        <w:ind w:left="0" w:right="0" w:firstLine="1440"/>
        <w:jc w:val="both"/>
        <w:rPr/>
      </w:pPr>
      <w:bookmarkStart w:id="521" w:name="i08bc085d8e614f428889a469e6e05a51"/>
      <w:bookmarkEnd w:id="521"/>
      <w:r>
        <w:rPr>
          <w:rFonts w:ascii="Times New Roman;serif" w:hAnsi="Times New Roman;serif"/>
          <w:b w:val="false"/>
          <w:color w:val="000000"/>
          <w:sz w:val="22"/>
        </w:rPr>
        <w:t>(l)</w:t>
      </w:r>
      <w:r>
        <w:rPr>
          <w:rFonts w:ascii="Times New Roman;serif" w:hAnsi="Times New Roman;serif"/>
          <w:b w:val="false"/>
          <w:color w:val="000000"/>
          <w:sz w:val="22"/>
        </w:rPr>
        <w:t>[reserved]; or</w:t>
      </w:r>
    </w:p>
    <w:p>
      <w:pPr>
        <w:pStyle w:val="TextBody"/>
        <w:bidi w:val="0"/>
        <w:spacing w:lineRule="auto" w:line="240" w:before="0" w:after="240"/>
        <w:ind w:left="0" w:right="0" w:firstLine="1440"/>
        <w:jc w:val="both"/>
        <w:rPr/>
      </w:pPr>
      <w:bookmarkStart w:id="522" w:name="i873fcb5bdc33479fb9993dcb1fed1944"/>
      <w:bookmarkEnd w:id="522"/>
      <w:r>
        <w:rPr>
          <w:rFonts w:ascii="Times New Roman;serif" w:hAnsi="Times New Roman;serif"/>
          <w:b w:val="false"/>
          <w:color w:val="000000"/>
          <w:sz w:val="22"/>
        </w:rPr>
        <w:t>(m)</w:t>
      </w:r>
      <w:r>
        <w:rPr>
          <w:rFonts w:ascii="Times New Roman;serif" w:hAnsi="Times New Roman;serif"/>
          <w:b w:val="false"/>
          <w:color w:val="000000"/>
          <w:sz w:val="22"/>
        </w:rPr>
        <w:t>a Change in Control shall occur or exist; or</w:t>
      </w:r>
    </w:p>
    <w:p>
      <w:pPr>
        <w:pStyle w:val="TextBody"/>
        <w:bidi w:val="0"/>
        <w:spacing w:lineRule="auto" w:line="240" w:before="0" w:after="240"/>
        <w:ind w:left="0" w:right="0" w:firstLine="1440"/>
        <w:jc w:val="both"/>
        <w:rPr/>
      </w:pPr>
      <w:bookmarkStart w:id="523" w:name="id7b3ac0b318b45059774664f85bed555"/>
      <w:bookmarkEnd w:id="523"/>
      <w:r>
        <w:rPr>
          <w:rFonts w:ascii="Times New Roman;serif" w:hAnsi="Times New Roman;serif"/>
          <w:b w:val="false"/>
          <w:color w:val="000000"/>
          <w:sz w:val="22"/>
        </w:rPr>
        <w:t>(n)</w:t>
      </w:r>
      <w:r>
        <w:rPr>
          <w:rFonts w:ascii="Times New Roman;serif" w:hAnsi="Times New Roman;serif"/>
          <w:b w:val="false"/>
          <w:color w:val="000000"/>
          <w:sz w:val="22"/>
        </w:rPr>
        <w:t xml:space="preserve">any material provision of the Guaranty and Security Agreement or any other Loan Document shall for any reason cease to be valid and binding on, or enforceable against, any Loan Party, or any Loan Party shall so state in writing, or any Loan Party shall seek to terminate its obligation under the Guaranty and Security Agreement or any other Loan Document (other than the release of any guaranty or collateral to the extent permitted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bookmarkStart w:id="524" w:name="i2f0404810f9249a085b29fc004c258d5"/>
      <w:bookmarkEnd w:id="524"/>
      <w:r>
        <w:rPr>
          <w:rFonts w:ascii="Times New Roman;serif" w:hAnsi="Times New Roman;serif"/>
          <w:b w:val="false"/>
          <w:color w:val="000000"/>
          <w:sz w:val="22"/>
        </w:rPr>
        <w:t>(o)</w:t>
      </w:r>
      <w:r>
        <w:rPr>
          <w:rFonts w:ascii="Times New Roman;serif" w:hAnsi="Times New Roman;serif"/>
          <w:b w:val="false"/>
          <w:color w:val="000000"/>
          <w:sz w:val="22"/>
        </w:rPr>
        <w:t>any Lien purported to be created under any Collateral Document</w:t>
      </w:r>
      <w:r>
        <w:rPr>
          <w:color w:val="000000"/>
        </w:rPr>
        <w:t xml:space="preserve"> </w:t>
      </w:r>
      <w:r>
        <w:rPr>
          <w:rFonts w:ascii="Times New Roman;serif" w:hAnsi="Times New Roman;serif"/>
          <w:b w:val="false"/>
          <w:color w:val="000000"/>
          <w:sz w:val="22"/>
        </w:rPr>
        <w:t xml:space="preserve">(with respect to a material portion of the Collateral) shall fail or cease to be, or shall be asserted by any Loan Party not to be, a valid and perfected Lien on any Collateral, with the priority required by the applicable Collateral Documents (other than as a result of the failure by the Administrative Agent to take any action within its control);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then, and in every such event (other than an event with respect to the Borrower described in subsection (g) or (h)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036955"/>
                <wp:effectExtent l="0" t="0" r="0" b="0"/>
                <wp:wrapNone/>
                <wp:docPr id="249" name="Frame24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 Event of Default specified in either subsection (g) or (h) shall occur, the Commitments shall automatically terminate and the principal of the Loans then outstanding, together with accrued interest thereon, and all fees and all other Obligations shall automatically become due and payable, without presentment, demand, protest or other notice of any kind, all of which are hereby waived by the Borrower.</w:t>
      </w:r>
    </w:p>
    <w:p>
      <w:pPr>
        <w:pStyle w:val="TextBody"/>
        <w:bidi w:val="0"/>
        <w:spacing w:lineRule="auto" w:line="240" w:before="0" w:after="0"/>
        <w:ind w:left="0" w:right="0" w:firstLine="720"/>
        <w:jc w:val="both"/>
        <w:rPr/>
      </w:pPr>
      <w:bookmarkStart w:id="525" w:name="i9c4c4ca2eb7747489219c1e83255fd40"/>
      <w:bookmarkEnd w:id="525"/>
      <w:r>
        <w:rPr>
          <w:rFonts w:ascii="Times New Roman;serif" w:hAnsi="Times New Roman;serif"/>
          <w:b/>
          <w:color w:val="000000"/>
          <w:sz w:val="22"/>
        </w:rPr>
        <w:t>Section 8.2</w:t>
      </w:r>
      <w:r>
        <w:rPr>
          <w:rFonts w:ascii="Times New Roman;serif" w:hAnsi="Times New Roman;serif"/>
          <w:b/>
          <w:color w:val="000000"/>
          <w:sz w:val="22"/>
          <w:u w:val="single"/>
        </w:rPr>
        <w:t>Application of Proceeds from Collateral</w:t>
      </w:r>
      <w:r>
        <w:rPr>
          <w:rFonts w:ascii="Times New Roman;serif" w:hAnsi="Times New Roman;serif"/>
          <w:b w:val="false"/>
          <w:color w:val="000000"/>
          <w:sz w:val="22"/>
        </w:rPr>
        <w:t>. All proceeds from each sale of, or other realization upon, all or any part of the Collateral by any Secured Party after an Event of Default arises shall be applied as follows:</w:t>
      </w:r>
    </w:p>
    <w:p>
      <w:pPr>
        <w:pStyle w:val="TextBody"/>
        <w:bidi w:val="0"/>
        <w:spacing w:lineRule="auto" w:line="240" w:before="0" w:after="240"/>
        <w:ind w:left="0" w:right="0" w:firstLine="1440"/>
        <w:jc w:val="both"/>
        <w:rPr/>
      </w:pPr>
      <w:bookmarkStart w:id="526" w:name="i604f3edef8ed40a28dce67980861c737"/>
      <w:bookmarkEnd w:id="526"/>
      <w:r>
        <w:rPr>
          <w:rFonts w:ascii="Times New Roman;serif" w:hAnsi="Times New Roman;serif"/>
          <w:b w:val="false"/>
          <w:color w:val="000000"/>
          <w:sz w:val="22"/>
        </w:rPr>
        <w:t>(a)</w:t>
      </w:r>
      <w:r>
        <w:rPr>
          <w:rFonts w:ascii="Times New Roman;serif" w:hAnsi="Times New Roman;serif"/>
          <w:b w:val="false"/>
          <w:color w:val="000000"/>
          <w:sz w:val="22"/>
          <w:u w:val="single"/>
        </w:rPr>
        <w:t>first</w:t>
      </w:r>
      <w:r>
        <w:rPr>
          <w:rFonts w:ascii="Times New Roman;serif" w:hAnsi="Times New Roman;serif"/>
          <w:b w:val="false"/>
          <w:color w:val="000000"/>
          <w:sz w:val="22"/>
        </w:rPr>
        <w:t>, to the reimbursable expenses of the Administrative Agent incurred in connection with such sale or other realization upon the Collateral, until the same shall have been paid in full;</w:t>
      </w:r>
    </w:p>
    <w:p>
      <w:pPr>
        <w:pStyle w:val="TextBody"/>
        <w:bidi w:val="0"/>
        <w:spacing w:lineRule="auto" w:line="240" w:before="0" w:after="240"/>
        <w:ind w:left="0" w:right="0" w:firstLine="1440"/>
        <w:jc w:val="both"/>
        <w:rPr/>
      </w:pPr>
      <w:bookmarkStart w:id="527" w:name="i67093c534ae54768a8058ef6550488ff"/>
      <w:bookmarkEnd w:id="527"/>
      <w:r>
        <w:rPr>
          <w:rFonts w:ascii="Times New Roman;serif" w:hAnsi="Times New Roman;serif"/>
          <w:b w:val="false"/>
          <w:color w:val="000000"/>
          <w:sz w:val="22"/>
        </w:rPr>
        <w:t>(b)</w:t>
      </w:r>
      <w:r>
        <w:rPr>
          <w:rFonts w:ascii="Times New Roman;serif" w:hAnsi="Times New Roman;serif"/>
          <w:b w:val="false"/>
          <w:color w:val="000000"/>
          <w:sz w:val="22"/>
          <w:u w:val="single"/>
        </w:rPr>
        <w:t>second</w:t>
      </w:r>
      <w:r>
        <w:rPr>
          <w:rFonts w:ascii="Times New Roman;serif" w:hAnsi="Times New Roman;serif"/>
          <w:b w:val="false"/>
          <w:color w:val="000000"/>
          <w:sz w:val="22"/>
        </w:rPr>
        <w:t>, to the fees, all amounts owed pursuant to Erroneous Payment Subrogation Rights, and other reimbursable expenses of the Administrative Agent and the Swingline Lender then due and payable pursuant to any of the Loan Documents, until the same shall have been paid in full;</w:t>
      </w:r>
    </w:p>
    <w:p>
      <w:pPr>
        <w:pStyle w:val="TextBody"/>
        <w:bidi w:val="0"/>
        <w:spacing w:lineRule="auto" w:line="240" w:before="0" w:after="240"/>
        <w:ind w:left="0" w:right="0" w:firstLine="1440"/>
        <w:jc w:val="both"/>
        <w:rPr/>
      </w:pPr>
      <w:bookmarkStart w:id="528" w:name="i23d2402eb5ed4cb79c571af5d48ed31a"/>
      <w:bookmarkEnd w:id="528"/>
      <w:r>
        <w:rPr>
          <w:rFonts w:ascii="Times New Roman;serif" w:hAnsi="Times New Roman;serif"/>
          <w:b w:val="false"/>
          <w:color w:val="000000"/>
          <w:sz w:val="22"/>
        </w:rPr>
        <w:t>(c)</w:t>
      </w:r>
      <w:r>
        <w:rPr>
          <w:rFonts w:ascii="Times New Roman;serif" w:hAnsi="Times New Roman;serif"/>
          <w:b w:val="false"/>
          <w:color w:val="000000"/>
          <w:sz w:val="22"/>
          <w:u w:val="single"/>
        </w:rPr>
        <w:t>third</w:t>
      </w:r>
      <w:r>
        <w:rPr>
          <w:rFonts w:ascii="Times New Roman;serif" w:hAnsi="Times New Roman;serif"/>
          <w:b w:val="false"/>
          <w:color w:val="000000"/>
          <w:sz w:val="22"/>
        </w:rPr>
        <w:t>, to the fees and reimbursable expenses of the Issuing Banks and the reimbursable expenses, if any, of the Lenders then due and payable pursuant to any of the Loan Documents, until the same shall have been paid in full;</w:t>
      </w:r>
    </w:p>
    <w:p>
      <w:pPr>
        <w:pStyle w:val="TextBody"/>
        <w:bidi w:val="0"/>
        <w:spacing w:lineRule="auto" w:line="240" w:before="0" w:after="240"/>
        <w:ind w:left="0" w:right="0" w:firstLine="1440"/>
        <w:jc w:val="both"/>
        <w:rPr/>
      </w:pPr>
      <w:bookmarkStart w:id="529" w:name="i1729d9f2b3fe4281801abe83946b7a70"/>
      <w:bookmarkEnd w:id="529"/>
      <w:r>
        <w:rPr>
          <w:rFonts w:ascii="Times New Roman;serif" w:hAnsi="Times New Roman;serif"/>
          <w:b w:val="false"/>
          <w:color w:val="000000"/>
          <w:sz w:val="22"/>
        </w:rPr>
        <w:t>(d)</w:t>
      </w:r>
      <w:r>
        <w:rPr>
          <w:rFonts w:ascii="Times New Roman;serif" w:hAnsi="Times New Roman;serif"/>
          <w:b w:val="false"/>
          <w:color w:val="000000"/>
          <w:sz w:val="22"/>
          <w:u w:val="single"/>
        </w:rPr>
        <w:t>fourth</w:t>
      </w:r>
      <w:r>
        <w:rPr>
          <w:rFonts w:ascii="Times New Roman;serif" w:hAnsi="Times New Roman;serif"/>
          <w:b w:val="false"/>
          <w:color w:val="000000"/>
          <w:sz w:val="22"/>
        </w:rPr>
        <w:t>, to the fees and interest then due and payable under the terms of this Agreement, until the same shall have been paid in full;</w:t>
      </w:r>
    </w:p>
    <w:p>
      <w:pPr>
        <w:pStyle w:val="TextBody"/>
        <w:bidi w:val="0"/>
        <w:spacing w:lineRule="auto" w:line="240" w:before="0" w:after="240"/>
        <w:ind w:left="0" w:right="0" w:firstLine="1440"/>
        <w:jc w:val="both"/>
        <w:rPr/>
      </w:pPr>
      <w:bookmarkStart w:id="530" w:name="ie1ddc86da2bc4d4a94513e48daa0965e"/>
      <w:bookmarkEnd w:id="530"/>
      <w:r>
        <w:rPr>
          <w:rFonts w:ascii="Times New Roman;serif" w:hAnsi="Times New Roman;serif"/>
          <w:b w:val="false"/>
          <w:color w:val="000000"/>
          <w:sz w:val="22"/>
        </w:rPr>
        <w:t>(e)</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the aggregate outstanding principal amount of the Loans, the LC Exposure, the Bank Product Obligations and the Net Mark-to-Market Exposure of the Hedging Obligations that constitute Obligations, until the same shall have been paid in full, allocated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among the Secured Parties based on their respective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shares of the aggregate amount of such Loans, LC Exposure, Bank Product Obligations and Net Mark-to-Market Exposure of such Hedging Obligations;</w:t>
      </w:r>
    </w:p>
    <w:p>
      <w:pPr>
        <w:pStyle w:val="TextBody"/>
        <w:bidi w:val="0"/>
        <w:spacing w:lineRule="auto" w:line="240" w:before="0" w:after="240"/>
        <w:ind w:left="0" w:right="0" w:firstLine="1440"/>
        <w:jc w:val="both"/>
        <w:rPr/>
      </w:pPr>
      <w:bookmarkStart w:id="531" w:name="id429141a39e54530833272f8d7e35735"/>
      <w:bookmarkEnd w:id="531"/>
      <w:r>
        <w:rPr>
          <w:rFonts w:ascii="Times New Roman;serif" w:hAnsi="Times New Roman;serif"/>
          <w:b w:val="false"/>
          <w:color w:val="000000"/>
          <w:sz w:val="22"/>
        </w:rPr>
        <w:t>(f)</w:t>
      </w:r>
      <w:r>
        <w:rPr>
          <w:rFonts w:ascii="Times New Roman;serif" w:hAnsi="Times New Roman;serif"/>
          <w:b w:val="false"/>
          <w:color w:val="000000"/>
          <w:sz w:val="22"/>
          <w:u w:val="single"/>
        </w:rPr>
        <w:t>sixth</w:t>
      </w:r>
      <w:r>
        <w:rPr>
          <w:rFonts w:ascii="Times New Roman;serif" w:hAnsi="Times New Roman;serif"/>
          <w:b w:val="false"/>
          <w:color w:val="000000"/>
          <w:sz w:val="22"/>
        </w:rPr>
        <w:t>, to additional cash collateral for the aggregate amount of all outstanding Letters of Credit until the aggregate amount of all cash collateral held by the Administrative Agent pursuant to this Agreement is at least 103% of the LC Exposure after giving effect to the foregoing clause fifth; and</w:t>
      </w:r>
    </w:p>
    <w:p>
      <w:pPr>
        <w:pStyle w:val="TextBody"/>
        <w:bidi w:val="0"/>
        <w:spacing w:lineRule="auto" w:line="240" w:before="0" w:after="240"/>
        <w:ind w:left="0" w:right="0" w:firstLine="1440"/>
        <w:jc w:val="both"/>
        <w:rPr/>
      </w:pPr>
      <w:bookmarkStart w:id="532" w:name="i194aa58c9489414e8f790baa5dd12731"/>
      <w:bookmarkEnd w:id="532"/>
      <w:r>
        <w:rPr>
          <w:rFonts w:ascii="Times New Roman;serif" w:hAnsi="Times New Roman;serif"/>
          <w:b w:val="false"/>
          <w:color w:val="000000"/>
          <w:sz w:val="22"/>
        </w:rPr>
        <w:t>(g)</w:t>
      </w:r>
      <w:r>
        <w:rPr>
          <w:rFonts w:ascii="Times New Roman;serif" w:hAnsi="Times New Roman;serif"/>
          <w:b w:val="false"/>
          <w:color w:val="000000"/>
          <w:sz w:val="22"/>
          <w:u w:val="single"/>
        </w:rPr>
        <w:t>seventh</w:t>
      </w:r>
      <w:r>
        <w:rPr>
          <w:rFonts w:ascii="Times New Roman;serif" w:hAnsi="Times New Roman;serif"/>
          <w:b w:val="false"/>
          <w:color w:val="000000"/>
          <w:sz w:val="22"/>
        </w:rPr>
        <w:t>, to the extent any proceeds remain, to the Borrower or as otherwise provided by a court of competent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amounts allocated pursuant to the foregoing clauses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fifth</w:t>
      </w:r>
      <w:r>
        <w:rPr>
          <w:color w:val="000000"/>
        </w:rPr>
        <w:t xml:space="preserve"> </w:t>
      </w:r>
      <w:r>
        <w:rPr>
          <w:rFonts w:ascii="Times New Roman;serif" w:hAnsi="Times New Roman;serif"/>
          <w:b w:val="false"/>
          <w:color w:val="000000"/>
          <w:sz w:val="22"/>
        </w:rPr>
        <w:t xml:space="preserve">to the Lenders as a result of amounts owed to the Lenders under the Loan Documents shall be allocated among, and distributed to,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based on their respective Pro Rata Shares;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all amounts allocated to that portion of the LC Exposure comprised of the aggregate undrawn amount of all outstanding Letters of Credit pursuant to clauses </w:t>
      </w:r>
      <w:r>
        <w:rPr>
          <w:rFonts w:ascii="Times New Roman;serif" w:hAnsi="Times New Roman;serif"/>
          <w:b w:val="false"/>
          <w:color w:val="000000"/>
          <w:sz w:val="22"/>
          <w:u w:val="single"/>
        </w:rPr>
        <w:t>fifth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sixth</w:t>
      </w:r>
      <w:r>
        <w:rPr>
          <w:color w:val="000000"/>
        </w:rPr>
        <w:t xml:space="preserve"> </w:t>
      </w:r>
      <w:r>
        <w:rPr>
          <w:rFonts w:ascii="Times New Roman;serif" w:hAnsi="Times New Roman;serif"/>
          <w:b w:val="false"/>
          <w:color w:val="000000"/>
          <w:sz w:val="22"/>
        </w:rPr>
        <w:t xml:space="preserve">shall be distributed to the Administrative Agent, rather than to the Revolving Lenders, and held by the Administrative Agent in an account in the name of the Administrative Agent for the benefit of the Issuing Banks and the Revolving Lenders as cash collateral for the LC Exposure, such account to be administered in accordance with </w:t>
      </w:r>
      <w:r>
        <w:rPr>
          <w:rFonts w:ascii="Times New Roman;serif" w:hAnsi="Times New Roman;serif"/>
          <w:b w:val="false"/>
          <w:color w:val="000000"/>
          <w:sz w:val="22"/>
          <w:u w:val="single"/>
        </w:rPr>
        <w:t>Section 2.22(g)</w:t>
      </w:r>
      <w:r>
        <w:rPr>
          <w:rFonts w:ascii="Times New Roman;serif" w:hAnsi="Times New Roman;serif"/>
          <w:b w:val="false"/>
          <w:color w:val="000000"/>
          <w:sz w:val="22"/>
        </w:rPr>
        <w:t xml:space="preserve">. All cash collateral for LC Exposure shall be applied to satisfy drawings under the Letters of Credit as they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036955"/>
                <wp:effectExtent l="0" t="0" r="0" b="0"/>
                <wp:wrapNone/>
                <wp:docPr id="250" name="Frame24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occur; if any amount remains on deposit on cash collateral after all letters of credit have either been fully drawn or expired, such remaining amount shall be applied to other Obligations, if any, in the order set forth above.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no amount received from any Guarantor (including any proceeds of any sale of, or other realization upon, all or any part of the Collateral owned by such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Article IX hereof for itself and its Affiliates as if a “Lender” party hereto.</w:t>
      </w:r>
    </w:p>
    <w:p>
      <w:pPr>
        <w:pStyle w:val="TextBody"/>
        <w:bidi w:val="0"/>
        <w:spacing w:lineRule="auto" w:line="240" w:before="0" w:after="240"/>
        <w:jc w:val="center"/>
        <w:rPr/>
      </w:pPr>
      <w:bookmarkStart w:id="533" w:name="ib4a9a0eb56924cb0a1207b97bad39874"/>
      <w:bookmarkEnd w:id="533"/>
      <w:r>
        <w:rPr>
          <w:rFonts w:ascii="Times New Roman;serif" w:hAnsi="Times New Roman;serif"/>
          <w:b/>
          <w:color w:val="000000"/>
          <w:sz w:val="22"/>
        </w:rPr>
        <w:t>Article IX</w:t>
      </w:r>
      <w:r>
        <w:rPr>
          <w:rFonts w:ascii="Times New Roman;serif" w:hAnsi="Times New Roman;serif"/>
          <w:b/>
          <w:color w:val="000000"/>
          <w:sz w:val="22"/>
          <w:u w:val="single"/>
        </w:rPr>
        <w:br/>
        <w:br/>
        <w:t>THE ADMINISTRATIVE AGENT</w:t>
      </w:r>
    </w:p>
    <w:p>
      <w:pPr>
        <w:pStyle w:val="TextBody"/>
        <w:bidi w:val="0"/>
        <w:spacing w:lineRule="auto" w:line="240" w:before="0" w:after="240"/>
        <w:ind w:left="0" w:right="0" w:firstLine="720"/>
        <w:jc w:val="both"/>
        <w:rPr/>
      </w:pPr>
      <w:bookmarkStart w:id="534" w:name="ie47214a579c045db97e402161d6939f5"/>
      <w:bookmarkEnd w:id="534"/>
      <w:r>
        <w:rPr>
          <w:rFonts w:ascii="Times New Roman;serif" w:hAnsi="Times New Roman;serif"/>
          <w:b/>
          <w:color w:val="000000"/>
          <w:sz w:val="22"/>
        </w:rPr>
        <w:t>Section 9.1</w:t>
      </w:r>
      <w:r>
        <w:rPr>
          <w:rFonts w:ascii="Times New Roman;serif" w:hAnsi="Times New Roman;serif"/>
          <w:b/>
          <w:color w:val="000000"/>
          <w:sz w:val="22"/>
          <w:u w:val="single"/>
        </w:rPr>
        <w:t>Appointment of the Administrative Agent.</w:t>
      </w:r>
    </w:p>
    <w:p>
      <w:pPr>
        <w:pStyle w:val="TextBody"/>
        <w:bidi w:val="0"/>
        <w:spacing w:lineRule="auto" w:line="240" w:before="0" w:after="240"/>
        <w:ind w:left="0" w:right="0" w:firstLine="1440"/>
        <w:jc w:val="both"/>
        <w:rPr/>
      </w:pPr>
      <w:bookmarkStart w:id="535" w:name="i3b2cf7ae55bb4597a33d38cd270f3a3b"/>
      <w:bookmarkEnd w:id="535"/>
      <w:r>
        <w:rPr>
          <w:rFonts w:ascii="Times New Roman;serif" w:hAnsi="Times New Roman;serif"/>
          <w:b w:val="false"/>
          <w:color w:val="000000"/>
          <w:sz w:val="22"/>
        </w:rPr>
        <w:t>(a)</w:t>
      </w:r>
      <w:r>
        <w:rPr>
          <w:rFonts w:ascii="Times New Roman;serif" w:hAnsi="Times New Roman;serif"/>
          <w:b w:val="false"/>
          <w:color w:val="000000"/>
          <w:sz w:val="22"/>
        </w:rPr>
        <w:t>Each Lender irrevocably appoints Truist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pStyle w:val="TextBody"/>
        <w:bidi w:val="0"/>
        <w:spacing w:lineRule="auto" w:line="240" w:before="0" w:after="240"/>
        <w:ind w:left="0" w:right="0" w:firstLine="1440"/>
        <w:jc w:val="both"/>
        <w:rPr/>
      </w:pPr>
      <w:bookmarkStart w:id="536" w:name="i4e09a5a6d9894f9e8985a3a1e6c36f3c"/>
      <w:bookmarkEnd w:id="536"/>
      <w:r>
        <w:rPr>
          <w:rFonts w:ascii="Times New Roman;serif" w:hAnsi="Times New Roman;serif"/>
          <w:b w:val="false"/>
          <w:color w:val="000000"/>
          <w:sz w:val="22"/>
        </w:rPr>
        <w:t>(b)</w:t>
      </w:r>
      <w:r>
        <w:rPr>
          <w:rFonts w:ascii="Times New Roman;serif" w:hAnsi="Times New Roman;serif"/>
          <w:b w:val="false"/>
          <w:color w:val="000000"/>
          <w:sz w:val="22"/>
        </w:rPr>
        <w:t xml:space="preserve">Each Issuing Bank shall act on behalf of the Lenders with respect to any Letters of Credit issued by it and the documents associated therewith until such time and except for so long as the Administrative Agent may agree at the request of the Required Lenders to act for such Issuing Bank with respect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Issuing Bank shall have all the benefits and immunities (i) provided to the Administrative Agent in this Article with respect to any acts taken or omissions suffered by such Issuing Bank in connection with Letters of Credit issued by it or proposed to be issued by it and the application and agreements for letters of credit pertaining to the Letters of Credit as fully as if the term “Administrative Agent” as used in this Article included such Issuing Bank with respect to such acts or omissions and (ii) as additionally provided in this Agreement with respect to such Issuing Bank.</w:t>
      </w:r>
    </w:p>
    <w:p>
      <w:pPr>
        <w:pStyle w:val="TextBody"/>
        <w:bidi w:val="0"/>
        <w:spacing w:lineRule="auto" w:line="240" w:before="0" w:after="240"/>
        <w:ind w:left="0" w:right="0" w:firstLine="1440"/>
        <w:jc w:val="both"/>
        <w:rPr/>
      </w:pPr>
      <w:bookmarkStart w:id="537" w:name="i41c6ffacccc5468593c5fe06765ef80f"/>
      <w:bookmarkEnd w:id="537"/>
      <w:r>
        <w:rPr>
          <w:rFonts w:ascii="Times New Roman;serif" w:hAnsi="Times New Roman;serif"/>
          <w:b w:val="false"/>
          <w:color w:val="000000"/>
          <w:sz w:val="22"/>
        </w:rPr>
        <w:t>(c)</w:t>
      </w:r>
      <w:r>
        <w:rPr>
          <w:rFonts w:ascii="Times New Roman;serif" w:hAnsi="Times New Roman;serif"/>
          <w:b w:val="false"/>
          <w:color w:val="000000"/>
          <w:sz w:val="22"/>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ind w:left="0" w:right="0" w:firstLine="720"/>
        <w:jc w:val="both"/>
        <w:rPr/>
      </w:pPr>
      <w:bookmarkStart w:id="538" w:name="i3027d671d2ce447494fd2309ac01c262"/>
      <w:bookmarkEnd w:id="538"/>
      <w:r>
        <w:rPr>
          <w:rFonts w:ascii="Times New Roman;serif" w:hAnsi="Times New Roman;serif"/>
          <w:b/>
          <w:color w:val="000000"/>
          <w:sz w:val="22"/>
        </w:rPr>
        <w:t>Section 9.2</w:t>
      </w:r>
      <w:r>
        <w:rPr>
          <w:rFonts w:ascii="Times New Roman;serif" w:hAnsi="Times New Roman;serif"/>
          <w:b/>
          <w:color w:val="000000"/>
          <w:sz w:val="22"/>
          <w:u w:val="single"/>
        </w:rPr>
        <w:t xml:space="preserve">Nature of Duties of the Administrative Agent </w:t>
      </w:r>
      <w:r>
        <w:rPr>
          <w:rFonts w:ascii="Times New Roman;serif" w:hAnsi="Times New Roman;serif"/>
          <w:b w:val="false"/>
          <w:color w:val="000000"/>
          <w:sz w:val="22"/>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036955"/>
                <wp:effectExtent l="0" t="0" r="0" b="0"/>
                <wp:wrapNone/>
                <wp:docPr id="251" name="Frame24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expressly contemplated by the Loan Documents that the Administrative Agent is required to exercise in writing by the Required Lenders (or such other number or percentage of the Lenders as shall be necessary under the circumstances as provided in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or in the absence of its own gross negligence or willful misconduct as determined by a court of competent jurisdiction in a final non-appealable judgment. The Administrative Agent shall not be responsible for the negligence or misconduct of any sub-agents or attorneys-in-fact except to the extent that a court of competent jurisdiction determines in a final and non-appealable judgment that the Administrative Agent acted with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pStyle w:val="TextBody"/>
        <w:bidi w:val="0"/>
        <w:spacing w:lineRule="auto" w:line="240"/>
        <w:ind w:left="0" w:right="0" w:firstLine="720"/>
        <w:jc w:val="both"/>
        <w:rPr/>
      </w:pPr>
      <w:bookmarkStart w:id="539" w:name="iacfe6429a2b645df8756a87456e804e0"/>
      <w:bookmarkEnd w:id="539"/>
      <w:r>
        <w:rPr>
          <w:rFonts w:ascii="Times New Roman;serif" w:hAnsi="Times New Roman;serif"/>
          <w:b/>
          <w:color w:val="000000"/>
          <w:sz w:val="22"/>
        </w:rPr>
        <w:t>Section 9.3</w:t>
      </w:r>
      <w:r>
        <w:rPr>
          <w:rFonts w:ascii="Times New Roman;serif" w:hAnsi="Times New Roman;serif"/>
          <w:b/>
          <w:color w:val="000000"/>
          <w:sz w:val="22"/>
          <w:u w:val="single"/>
        </w:rPr>
        <w:t>Lack of Reliance on the Administrative Agent</w:t>
      </w:r>
      <w:r>
        <w:rPr>
          <w:rFonts w:ascii="Times New Roman;serif" w:hAnsi="Times New Roman;serif"/>
          <w:b w:val="false"/>
          <w:color w:val="000000"/>
          <w:sz w:val="22"/>
        </w:rPr>
        <w:t xml:space="preserve">. Each of the Lenders, the Swingline Lender and the Issuing Banks acknowledges that it has, independently and without reliance upon the Administrative Agent, any Issuing Bank or any other Lender and based on such documents and information as it has deemed appropriate, made its own credit analysis and decision to enter into this Agreement. Each of the Lenders, the Swingline Lender and the Issuing Banks also acknowledges that it will, independently and without reliance upon the Administrative Agent, any Issuing Bank or any other Lender and based on such documents and information as it has deemed appropriate, continue to make its own credit analysis, appraisals and decisions in taking or not taking any action under or based 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to the Administrative Agent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to the Administrative Agent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of the Lenders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(other than the Administrative Agent and its Affiliates) in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036955"/>
                <wp:effectExtent l="0" t="0" r="0" b="0"/>
                <wp:wrapNone/>
                <wp:docPr id="252" name="Frame25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126</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connection with this Agreement, the other Loan Documents or any of the transactions contemplated hereby or thereby.</w:t>
      </w:r>
    </w:p>
    <w:p>
      <w:pPr>
        <w:pStyle w:val="TextBody"/>
        <w:bidi w:val="0"/>
        <w:spacing w:lineRule="auto" w:line="240" w:before="0" w:after="0"/>
        <w:ind w:left="0" w:right="0" w:firstLine="720"/>
        <w:jc w:val="both"/>
        <w:rPr/>
      </w:pPr>
      <w:bookmarkStart w:id="540" w:name="i8f58c1fe86cd44798dfe60780bdd97d6"/>
      <w:bookmarkEnd w:id="540"/>
      <w:r>
        <w:rPr>
          <w:rFonts w:ascii="Times New Roman;serif" w:hAnsi="Times New Roman;serif"/>
          <w:b/>
          <w:color w:val="000000"/>
          <w:sz w:val="22"/>
        </w:rPr>
        <w:t>Section 9.4</w:t>
      </w:r>
      <w:r>
        <w:rPr>
          <w:rFonts w:ascii="Times New Roman;serif" w:hAnsi="Times New Roman;serif"/>
          <w:b/>
          <w:color w:val="000000"/>
          <w:sz w:val="22"/>
          <w:u w:val="single"/>
        </w:rPr>
        <w:t>Certain Rights of the Administrative Agent</w:t>
      </w:r>
      <w:r>
        <w:rPr>
          <w:rFonts w:ascii="Times New Roman;serif" w:hAnsi="Times New Roman;serif"/>
          <w:b w:val="false"/>
          <w:color w:val="000000"/>
          <w:sz w:val="22"/>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pStyle w:val="TextBody"/>
        <w:bidi w:val="0"/>
        <w:spacing w:lineRule="auto" w:line="240" w:before="0" w:after="0"/>
        <w:ind w:left="0" w:right="0" w:firstLine="720"/>
        <w:jc w:val="both"/>
        <w:rPr/>
      </w:pPr>
      <w:bookmarkStart w:id="541" w:name="i11e5fd8ff0754890bc962a5d2180bb40"/>
      <w:bookmarkEnd w:id="541"/>
      <w:r>
        <w:rPr>
          <w:rFonts w:ascii="Times New Roman;serif" w:hAnsi="Times New Roman;serif"/>
          <w:b/>
          <w:color w:val="000000"/>
          <w:sz w:val="22"/>
        </w:rPr>
        <w:t>Section 9.5</w:t>
      </w:r>
      <w:r>
        <w:rPr>
          <w:rFonts w:ascii="Times New Roman;serif" w:hAnsi="Times New Roman;serif"/>
          <w:b/>
          <w:color w:val="000000"/>
          <w:sz w:val="22"/>
          <w:u w:val="single"/>
        </w:rPr>
        <w:t>Reliance by the Administrative Agent</w:t>
      </w:r>
      <w:r>
        <w:rPr>
          <w:rFonts w:ascii="Times New Roman;serif" w:hAnsi="Times New Roman;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pStyle w:val="TextBody"/>
        <w:bidi w:val="0"/>
        <w:spacing w:lineRule="auto" w:line="240" w:before="0" w:after="0"/>
        <w:ind w:left="0" w:right="0" w:firstLine="720"/>
        <w:jc w:val="both"/>
        <w:rPr/>
      </w:pPr>
      <w:bookmarkStart w:id="542" w:name="i0db5ac0609fd4d23aa37713c34752ffd"/>
      <w:bookmarkEnd w:id="542"/>
      <w:r>
        <w:rPr>
          <w:rFonts w:ascii="Times New Roman;serif" w:hAnsi="Times New Roman;serif"/>
          <w:b/>
          <w:color w:val="000000"/>
          <w:sz w:val="22"/>
        </w:rPr>
        <w:t>Section 9.6</w:t>
      </w:r>
      <w:r>
        <w:rPr>
          <w:rFonts w:ascii="Times New Roman;serif" w:hAnsi="Times New Roman;serif"/>
          <w:b/>
          <w:color w:val="000000"/>
          <w:sz w:val="22"/>
          <w:u w:val="single"/>
        </w:rPr>
        <w:t>The Administrative Agent in its Individual Capacity</w:t>
      </w:r>
      <w:r>
        <w:rPr>
          <w:rFonts w:ascii="Times New Roman;serif" w:hAnsi="Times New Roman;serif"/>
          <w:b w:val="false"/>
          <w:color w:val="000000"/>
          <w:sz w:val="22"/>
        </w:rPr>
        <w:t>. The bank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Delayed Draw Term Loan Lenders”, “Required Lenders”, “Required Revolving Lenders”, or any similar terms shall, unless the context clearly otherwise indicates, include the Administrative Agent in its individual capacity. The bank acting as the Administrative Agent and its Affiliates may accept deposits from, lend money to, and generally engage in any kind of business with the Borrower or any Subsidiary or Affiliate of the Borrower as if it were not the Administrative Agent hereunder.</w:t>
      </w:r>
    </w:p>
    <w:p>
      <w:pPr>
        <w:pStyle w:val="TextBody"/>
        <w:bidi w:val="0"/>
        <w:spacing w:lineRule="auto" w:line="240" w:before="0" w:after="240"/>
        <w:ind w:left="0" w:right="0" w:firstLine="720"/>
        <w:jc w:val="both"/>
        <w:rPr/>
      </w:pPr>
      <w:bookmarkStart w:id="543" w:name="i4c13c80448cd4d789b2e304213983374"/>
      <w:bookmarkEnd w:id="543"/>
      <w:r>
        <w:rPr>
          <w:rFonts w:ascii="Times New Roman;serif" w:hAnsi="Times New Roman;serif"/>
          <w:b/>
          <w:color w:val="000000"/>
          <w:sz w:val="22"/>
        </w:rPr>
        <w:t>Section 9.7</w:t>
      </w:r>
      <w:r>
        <w:rPr>
          <w:rFonts w:ascii="Times New Roman;serif" w:hAnsi="Times New Roman;serif"/>
          <w:b/>
          <w:color w:val="000000"/>
          <w:sz w:val="22"/>
          <w:u w:val="single"/>
        </w:rPr>
        <w:t>Successor Administrative Agent.</w:t>
      </w:r>
    </w:p>
    <w:p>
      <w:pPr>
        <w:pStyle w:val="TextBody"/>
        <w:bidi w:val="0"/>
        <w:spacing w:lineRule="auto" w:line="240" w:before="0" w:after="240"/>
        <w:ind w:left="0" w:right="0" w:firstLine="1440"/>
        <w:jc w:val="both"/>
        <w:rPr/>
      </w:pPr>
      <w:bookmarkStart w:id="544" w:name="i00a622ddc73a4d56a3f495edf8dcac70"/>
      <w:bookmarkEnd w:id="544"/>
      <w:r>
        <w:rPr>
          <w:rFonts w:ascii="Times New Roman;serif" w:hAnsi="Times New Roman;serif"/>
          <w:b w:val="false"/>
          <w:color w:val="000000"/>
          <w:sz w:val="22"/>
        </w:rPr>
        <w:t>(a)</w:t>
      </w:r>
      <w:r>
        <w:rPr>
          <w:rFonts w:ascii="Times New Roman;serif" w:hAnsi="Times New Roman;serif"/>
          <w:b w:val="false"/>
          <w:color w:val="000000"/>
          <w:sz w:val="22"/>
        </w:rPr>
        <w:t>The Administrative Agent may resign at any time by giving notice thereof to the Lenders and the Borrower. Upon any such resignation, the Required Lenders shall have the right to appoint a successor Administrative Agent, subject to approval by the Borrower provided that no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having a combined capital and surplus of at least $500,000,000. Any resignation by the Administrative Agent pursuant to this Section shall also constitute its resignation as an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pStyle w:val="TextBody"/>
        <w:bidi w:val="0"/>
        <w:spacing w:lineRule="auto" w:line="240" w:before="0" w:after="240"/>
        <w:ind w:left="0" w:right="0" w:firstLine="1440"/>
        <w:jc w:val="both"/>
        <w:rPr/>
      </w:pPr>
      <w:bookmarkStart w:id="545" w:name="ia5fc03a0334b447baff15f206d943e09"/>
      <w:bookmarkEnd w:id="545"/>
      <w:r>
        <w:rPr>
          <w:rFonts w:ascii="Times New Roman;serif" w:hAnsi="Times New Roman;serif"/>
          <w:b w:val="false"/>
          <w:color w:val="000000"/>
          <w:sz w:val="22"/>
        </w:rPr>
        <w:t>(b)</w:t>
      </w:r>
      <w:r>
        <w:rPr>
          <w:rFonts w:ascii="Times New Roman;serif" w:hAnsi="Times New Roman;serif"/>
          <w:b w:val="false"/>
          <w:color w:val="000000"/>
          <w:sz w:val="22"/>
        </w:rPr>
        <w:t xml:space="preserve">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45th day (i) the retiring Administrative Agent’s resignation shall become effective, (ii) the retiring Administrative Agent shall thereupon be discharged from its duties and obligations under the Loan Documents and (iii) the Required Lenders shall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036955"/>
                <wp:effectExtent l="0" t="0" r="0" b="0"/>
                <wp:wrapNone/>
                <wp:docPr id="253" name="Frame25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perform all duties of the retiring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it was serving as the Administrative Agent.</w:t>
      </w:r>
    </w:p>
    <w:p>
      <w:pPr>
        <w:pStyle w:val="TextBody"/>
        <w:bidi w:val="0"/>
        <w:spacing w:lineRule="auto" w:line="240" w:before="0" w:after="240"/>
        <w:ind w:left="0" w:right="0" w:firstLine="1440"/>
        <w:jc w:val="both"/>
        <w:rPr/>
      </w:pPr>
      <w:bookmarkStart w:id="546" w:name="i05576551f2154690b310700f211f68c0"/>
      <w:bookmarkEnd w:id="546"/>
      <w:r>
        <w:rPr>
          <w:rFonts w:ascii="Times New Roman;serif" w:hAnsi="Times New Roman;serif"/>
          <w:b w:val="false"/>
          <w:color w:val="000000"/>
          <w:sz w:val="22"/>
        </w:rPr>
        <w:t>(c)</w:t>
      </w:r>
      <w:r>
        <w:rPr>
          <w:rFonts w:ascii="Times New Roman;serif" w:hAnsi="Times New Roman;serif"/>
          <w:b w:val="false"/>
          <w:color w:val="000000"/>
          <w:sz w:val="22"/>
        </w:rPr>
        <w:t xml:space="preserve">In addition to the foregoing, if a Lender becomes, and during the period it remains, a Defaulting Lender, and if any Default has arisen from a failure of the Borrower to comply with </w:t>
      </w:r>
      <w:r>
        <w:rPr>
          <w:rFonts w:ascii="Times New Roman;serif" w:hAnsi="Times New Roman;serif"/>
          <w:b w:val="false"/>
          <w:color w:val="000000"/>
          <w:sz w:val="22"/>
          <w:u w:val="single"/>
        </w:rPr>
        <w:t>Section 2.26(b)</w:t>
      </w:r>
      <w:r>
        <w:rPr>
          <w:rFonts w:ascii="Times New Roman;serif" w:hAnsi="Times New Roman;serif"/>
          <w:b w:val="false"/>
          <w:color w:val="000000"/>
          <w:sz w:val="22"/>
        </w:rPr>
        <w:t>, then the Issuing Banks and the Swingline Lender may, upon prior written notice to the Borrower and the Administrative Agent, resign as an Issuing Bank or as Swingline Lender, as the case may be, effective at the close of business Charlotte, North Carolina time on a date specified in such notice (which date may not be less than five (5) Business Days after the date of such notice).</w:t>
      </w:r>
    </w:p>
    <w:p>
      <w:pPr>
        <w:pStyle w:val="TextBody"/>
        <w:bidi w:val="0"/>
        <w:spacing w:lineRule="auto" w:line="240" w:before="0" w:after="0"/>
        <w:ind w:left="0" w:right="0" w:firstLine="720"/>
        <w:jc w:val="both"/>
        <w:rPr/>
      </w:pPr>
      <w:bookmarkStart w:id="547" w:name="ia87b1e43937b4cf895df32cefa0b66aa"/>
      <w:bookmarkEnd w:id="547"/>
      <w:r>
        <w:rPr>
          <w:rFonts w:ascii="Times New Roman;serif" w:hAnsi="Times New Roman;serif"/>
          <w:b/>
          <w:color w:val="000000"/>
          <w:sz w:val="22"/>
        </w:rPr>
        <w:t>Section 9.8</w:t>
      </w:r>
      <w:r>
        <w:rPr>
          <w:rFonts w:ascii="Times New Roman;serif" w:hAnsi="Times New Roman;serif"/>
          <w:b/>
          <w:color w:val="000000"/>
          <w:sz w:val="22"/>
          <w:u w:val="single"/>
        </w:rPr>
        <w:t>Withholding Tax</w:t>
      </w:r>
      <w:r>
        <w:rPr>
          <w:rFonts w:ascii="Times New Roman;serif" w:hAnsi="Times New Roman;serif"/>
          <w:b w:val="false"/>
          <w:color w:val="000000"/>
          <w:sz w:val="22"/>
        </w:rPr>
        <w:t>. 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 provided that if the Administrative Agent is subsequently reimbursed by the Borrower or any other Loan Party for any such amounts, the Administrative Agent shall reasonably promptly refund to the applicable Lender the amount of any excess reimbursement.</w:t>
      </w:r>
    </w:p>
    <w:p>
      <w:pPr>
        <w:pStyle w:val="TextBody"/>
        <w:bidi w:val="0"/>
        <w:spacing w:lineRule="auto" w:line="240" w:before="0" w:after="240"/>
        <w:ind w:left="0" w:right="0" w:firstLine="720"/>
        <w:jc w:val="both"/>
        <w:rPr/>
      </w:pPr>
      <w:bookmarkStart w:id="548" w:name="i83e397a9c8464444968e0d32e7c85a15"/>
      <w:bookmarkEnd w:id="548"/>
      <w:r>
        <w:rPr>
          <w:rFonts w:ascii="Times New Roman;serif" w:hAnsi="Times New Roman;serif"/>
          <w:b/>
          <w:color w:val="000000"/>
          <w:sz w:val="22"/>
        </w:rPr>
        <w:t>Section 9.9</w:t>
      </w:r>
      <w:r>
        <w:rPr>
          <w:rFonts w:ascii="Times New Roman;serif" w:hAnsi="Times New Roman;serif"/>
          <w:b/>
          <w:color w:val="000000"/>
          <w:sz w:val="22"/>
          <w:u w:val="single"/>
        </w:rPr>
        <w:t>The Administrative Agent May File Proofs of Claim.</w:t>
      </w:r>
    </w:p>
    <w:p>
      <w:pPr>
        <w:pStyle w:val="TextBody"/>
        <w:bidi w:val="0"/>
        <w:spacing w:lineRule="auto" w:line="240" w:before="0" w:after="240"/>
        <w:ind w:left="0" w:right="0" w:firstLine="1440"/>
        <w:jc w:val="both"/>
        <w:rPr/>
      </w:pPr>
      <w:bookmarkStart w:id="549" w:name="i54bf87286bb74d0196b4bf8d7f0f9326"/>
      <w:bookmarkEnd w:id="549"/>
      <w:r>
        <w:rPr>
          <w:rFonts w:ascii="Times New Roman;serif" w:hAnsi="Times New Roman;serif"/>
          <w:b w:val="false"/>
          <w:color w:val="000000"/>
          <w:sz w:val="22"/>
        </w:rPr>
        <w:t>(a)</w:t>
      </w:r>
      <w:r>
        <w:rPr>
          <w:rFonts w:ascii="Times New Roman;serif" w:hAnsi="Times New Roman;serif"/>
          <w:b w:val="false"/>
          <w:color w:val="000000"/>
          <w:sz w:val="22"/>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0" w:after="240"/>
        <w:ind w:left="0" w:right="0" w:firstLine="1440"/>
        <w:jc w:val="both"/>
        <w:rPr/>
      </w:pPr>
      <w:bookmarkStart w:id="550" w:name="i0bb35d27d7e747118e4c1b23b0d76424"/>
      <w:bookmarkEnd w:id="550"/>
      <w:r>
        <w:rPr>
          <w:rFonts w:ascii="Times New Roman;serif" w:hAnsi="Times New Roman;serif"/>
          <w:b w:val="false"/>
          <w:color w:val="000000"/>
          <w:sz w:val="22"/>
        </w:rPr>
        <w:t xml:space="preserve">(i)to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its agents and counsel and all other amounts due the Lenders, the Issuing Banks and the Administrative Agent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 allowed in such judicial proceeding;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51" w:name="i311fa5ae61254e278dadea46a79d0390"/>
      <w:bookmarkEnd w:id="551"/>
      <w:r>
        <w:rPr>
          <w:rFonts w:ascii="Times New Roman;serif" w:hAnsi="Times New Roman;serif"/>
          <w:b w:val="false"/>
          <w:color w:val="000000"/>
          <w:sz w:val="22"/>
        </w:rPr>
        <w:t>(ii)to collect and receive any monies or other property payable or deliverable on any such claims and to distribute the same.</w:t>
      </w:r>
    </w:p>
    <w:p>
      <w:pPr>
        <w:pStyle w:val="TextBody"/>
        <w:bidi w:val="0"/>
        <w:spacing w:lineRule="auto" w:line="240" w:before="0" w:after="240"/>
        <w:ind w:left="0" w:right="0" w:firstLine="1440"/>
        <w:jc w:val="both"/>
        <w:rPr/>
      </w:pPr>
      <w:bookmarkStart w:id="552" w:name="i785143d512f84aefb78559d8ca03361d"/>
      <w:bookmarkEnd w:id="552"/>
      <w:r>
        <w:rPr>
          <w:rFonts w:ascii="Times New Roman;serif" w:hAnsi="Times New Roman;serif"/>
          <w:b w:val="false"/>
          <w:color w:val="000000"/>
          <w:sz w:val="22"/>
        </w:rPr>
        <w:t>(b)</w:t>
      </w:r>
      <w:r>
        <w:rPr>
          <w:rFonts w:ascii="Times New Roman;serif" w:hAnsi="Times New Roman;serif"/>
          <w:b w:val="false"/>
          <w:color w:val="000000"/>
          <w:sz w:val="22"/>
        </w:rPr>
        <w:t xml:space="preserve">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Nothing contained herein shall be deemed to authorize the Administrative Agent to authorize or consent to or accept or adopt on behalf of any Lender or any Issuing Bank any plan of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036955"/>
                <wp:effectExtent l="0" t="0" r="0" b="0"/>
                <wp:wrapNone/>
                <wp:docPr id="254" name="Frame25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40" w:before="0" w:after="0"/>
        <w:ind w:left="0" w:right="0" w:firstLine="720"/>
        <w:jc w:val="both"/>
        <w:rPr/>
      </w:pPr>
      <w:bookmarkStart w:id="553" w:name="i7b71a3d9e8764c0da4f7072e7f5c5b24"/>
      <w:bookmarkEnd w:id="553"/>
      <w:r>
        <w:rPr>
          <w:rFonts w:ascii="Times New Roman;serif" w:hAnsi="Times New Roman;serif"/>
          <w:b/>
          <w:color w:val="000000"/>
          <w:sz w:val="22"/>
        </w:rPr>
        <w:t>Section 9.10</w:t>
      </w:r>
      <w:r>
        <w:rPr>
          <w:rFonts w:ascii="Times New Roman;serif" w:hAnsi="Times New Roman;serif"/>
          <w:b/>
          <w:color w:val="000000"/>
          <w:sz w:val="22"/>
          <w:u w:val="single"/>
        </w:rPr>
        <w:t>Authorization to Execute Other Loan Documents</w:t>
      </w:r>
      <w:r>
        <w:rPr>
          <w:rFonts w:ascii="Times New Roman;serif" w:hAnsi="Times New Roman;serif"/>
          <w:b w:val="false"/>
          <w:color w:val="000000"/>
          <w:sz w:val="22"/>
        </w:rPr>
        <w:t>. Each Lender hereby authorizes the Administrative Agent to execute on behalf of all Lenders all Loan Documents (including the Collateral Documents and any subordination agreements) other than this Agreement.</w:t>
      </w:r>
    </w:p>
    <w:p>
      <w:pPr>
        <w:pStyle w:val="TextBody"/>
        <w:bidi w:val="0"/>
        <w:spacing w:lineRule="auto" w:line="240" w:before="0" w:after="0"/>
        <w:ind w:left="0" w:right="0" w:firstLine="720"/>
        <w:jc w:val="both"/>
        <w:rPr/>
      </w:pPr>
      <w:bookmarkStart w:id="554" w:name="i7c8260e608b145179b3a6e97d6eeceeb"/>
      <w:bookmarkEnd w:id="554"/>
      <w:r>
        <w:rPr>
          <w:rFonts w:ascii="Times New Roman;serif" w:hAnsi="Times New Roman;serif"/>
          <w:b/>
          <w:color w:val="000000"/>
          <w:sz w:val="22"/>
        </w:rPr>
        <w:t>Section 9.11</w:t>
      </w:r>
      <w:r>
        <w:rPr>
          <w:rFonts w:ascii="Times New Roman;serif" w:hAnsi="Times New Roman;serif"/>
          <w:b/>
          <w:color w:val="000000"/>
          <w:sz w:val="22"/>
          <w:u w:val="single"/>
        </w:rPr>
        <w:t>Collateral and Guaranty Matters</w:t>
      </w:r>
      <w:r>
        <w:rPr>
          <w:rFonts w:ascii="Times New Roman;serif" w:hAnsi="Times New Roman;serif"/>
          <w:b w:val="false"/>
          <w:color w:val="000000"/>
          <w:sz w:val="22"/>
        </w:rPr>
        <w:t xml:space="preserve">. The Lenders irrevocably authorize the Administrative Agent to effectuate the releases and subordination agreements contemplated by </w:t>
      </w:r>
      <w:r>
        <w:rPr>
          <w:rFonts w:ascii="Times New Roman;serif" w:hAnsi="Times New Roman;serif"/>
          <w:b w:val="false"/>
          <w:color w:val="000000"/>
          <w:sz w:val="22"/>
          <w:u w:val="single"/>
        </w:rPr>
        <w:t>Section 10.24</w:t>
      </w:r>
      <w:r>
        <w:rPr>
          <w:rFonts w:ascii="Times New Roman;serif" w:hAnsi="Times New Roman;serif"/>
          <w:b w:val="false"/>
          <w:color w:val="000000"/>
          <w:sz w:val="22"/>
        </w:rPr>
        <w:t xml:space="preserve">. 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w:t>
      </w:r>
      <w:r>
        <w:rPr>
          <w:rFonts w:ascii="Times New Roman;serif" w:hAnsi="Times New Roman;serif"/>
          <w:b w:val="false"/>
          <w:color w:val="000000"/>
          <w:sz w:val="22"/>
          <w:u w:val="single"/>
        </w:rPr>
        <w:t>Section 10.24</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bookmarkStart w:id="555" w:name="i04f6f3610d7e4ecdb68da5306ff507b0"/>
      <w:bookmarkEnd w:id="555"/>
      <w:r>
        <w:rPr>
          <w:rFonts w:ascii="Times New Roman;serif" w:hAnsi="Times New Roman;serif"/>
          <w:b/>
          <w:color w:val="000000"/>
          <w:sz w:val="22"/>
        </w:rPr>
        <w:t>Section 9.12</w:t>
      </w:r>
      <w:r>
        <w:rPr>
          <w:rFonts w:ascii="Times New Roman;serif" w:hAnsi="Times New Roman;serif"/>
          <w:b/>
          <w:color w:val="000000"/>
          <w:sz w:val="22"/>
          <w:u w:val="single"/>
        </w:rPr>
        <w:t>No Other Duties; Designation of Additional Agents</w:t>
      </w:r>
      <w:r>
        <w:rPr>
          <w:rFonts w:ascii="Times New Roman;serif" w:hAnsi="Times New Roman;serif"/>
          <w:b w:val="false"/>
          <w:color w:val="000000"/>
          <w:sz w:val="22"/>
        </w:rPr>
        <w:t xml:space="preserve">. None of the Lenders or other Persons identified on the facing page or signature pages of this Agreement as a “co-sustainability structuring agent”, “co-syndication agent”, “joint lead arranger” or “joint bookrunner” shall have any right, power, obligation, liability, responsibility or duty under this Agreement other than those applicable to all Lenders as such or except for the consent right of the Arrangers expressly set forth in </w:t>
      </w:r>
      <w:r>
        <w:rPr>
          <w:rFonts w:ascii="Times New Roman;serif" w:hAnsi="Times New Roman;serif"/>
          <w:b w:val="false"/>
          <w:color w:val="000000"/>
          <w:sz w:val="22"/>
          <w:u w:val="single"/>
        </w:rPr>
        <w:t>Section 10.2(c)</w:t>
      </w:r>
      <w:r>
        <w:rPr>
          <w:color w:val="000000"/>
        </w:rPr>
        <w:t xml:space="preserve"> </w:t>
      </w:r>
      <w:r>
        <w:rPr>
          <w:rFonts w:ascii="Times New Roman;serif" w:hAnsi="Times New Roman;serif"/>
          <w:b w:val="false"/>
          <w:color w:val="000000"/>
          <w:sz w:val="22"/>
        </w:rPr>
        <w:t>hereof.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lineRule="auto" w:line="240" w:before="0" w:after="0"/>
        <w:ind w:left="0" w:right="0" w:firstLine="720"/>
        <w:jc w:val="both"/>
        <w:rPr/>
      </w:pPr>
      <w:bookmarkStart w:id="556" w:name="ie7d250d4332048c4a83fc6edfdc604f1"/>
      <w:bookmarkEnd w:id="556"/>
      <w:r>
        <w:rPr>
          <w:rFonts w:ascii="Times New Roman;serif" w:hAnsi="Times New Roman;serif"/>
          <w:b/>
          <w:color w:val="000000"/>
          <w:sz w:val="22"/>
        </w:rPr>
        <w:t>Section 9.13</w:t>
      </w:r>
      <w:r>
        <w:rPr>
          <w:rFonts w:ascii="Times New Roman;serif" w:hAnsi="Times New Roman;serif"/>
          <w:b/>
          <w:color w:val="000000"/>
          <w:sz w:val="22"/>
          <w:u w:val="single"/>
        </w:rPr>
        <w:t>Right to Realize on Collateral and Enforce Guarantee</w:t>
      </w:r>
      <w:r>
        <w:rPr>
          <w:rFonts w:ascii="Times New Roman;serif" w:hAnsi="Times New Roman;serif"/>
          <w:b w:val="false"/>
          <w:color w:val="000000"/>
          <w:sz w:val="22"/>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pStyle w:val="TextBody"/>
        <w:bidi w:val="0"/>
        <w:spacing w:lineRule="auto" w:line="240" w:before="0" w:after="0"/>
        <w:ind w:left="0" w:right="0" w:firstLine="720"/>
        <w:jc w:val="both"/>
        <w:rPr/>
      </w:pPr>
      <w:bookmarkStart w:id="557" w:name="i9691fce8f8de4616a718bce47038c866"/>
      <w:bookmarkEnd w:id="557"/>
      <w:r>
        <w:rPr>
          <w:rFonts w:ascii="Times New Roman;serif" w:hAnsi="Times New Roman;serif"/>
          <w:b/>
          <w:color w:val="000000"/>
          <w:sz w:val="22"/>
        </w:rPr>
        <w:t>Section 9.14</w:t>
      </w:r>
      <w:r>
        <w:rPr>
          <w:rFonts w:ascii="Times New Roman;serif" w:hAnsi="Times New Roman;serif"/>
          <w:b/>
          <w:color w:val="000000"/>
          <w:sz w:val="22"/>
          <w:u w:val="single"/>
        </w:rPr>
        <w:t>Secured Bank Product Obligations and Hedging Obligations</w:t>
      </w:r>
      <w:r>
        <w:rPr>
          <w:rFonts w:ascii="Times New Roman;serif" w:hAnsi="Times New Roman;serif"/>
          <w:b w:val="false"/>
          <w:color w:val="000000"/>
          <w:sz w:val="22"/>
        </w:rPr>
        <w:t xml:space="preserve">. No Bank Product Provider or Lender-Related Hedge Provider that obtains the benefits of </w:t>
      </w:r>
      <w:r>
        <w:rPr>
          <w:rFonts w:ascii="Times New Roman;serif" w:hAnsi="Times New Roman;serif"/>
          <w:b w:val="false"/>
          <w:color w:val="000000"/>
          <w:sz w:val="22"/>
          <w:u w:val="single"/>
        </w:rPr>
        <w:t>Section 8.2</w:t>
      </w:r>
      <w:r>
        <w:rPr>
          <w:rFonts w:ascii="Times New Roman;serif" w:hAnsi="Times New Roman;serif"/>
          <w:b w:val="false"/>
          <w:color w:val="000000"/>
          <w:sz w:val="22"/>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pStyle w:val="TextBody"/>
        <w:bidi w:val="0"/>
        <w:spacing w:lineRule="auto" w:line="240"/>
        <w:ind w:left="0" w:right="0" w:firstLine="720"/>
        <w:jc w:val="both"/>
        <w:rPr/>
      </w:pPr>
      <w:bookmarkStart w:id="558" w:name="if398b871ed3d444eae4414d79b7e60e2"/>
      <w:bookmarkEnd w:id="558"/>
      <w:r>
        <w:rPr>
          <w:rFonts w:ascii="Times New Roman;serif" w:hAnsi="Times New Roman;serif"/>
          <w:b/>
          <w:color w:val="000000"/>
          <w:sz w:val="22"/>
        </w:rPr>
        <w:t>Section 9.15</w:t>
      </w:r>
      <w:r>
        <w:rPr>
          <w:rFonts w:ascii="Times New Roman;serif" w:hAnsi="Times New Roman;serif"/>
          <w:b/>
          <w:color w:val="000000"/>
          <w:sz w:val="22"/>
          <w:u w:val="single"/>
        </w:rPr>
        <w:t>Erroneous Payments</w:t>
      </w:r>
      <w:bookmarkStart w:id="559" w:name="i47ac87470f2c47b3be7cf7e9cad6b238"/>
      <w:bookmarkEnd w:id="559"/>
      <w:r>
        <w:rPr>
          <w:rFonts w:ascii="Times New Roman;serif" w:hAnsi="Times New Roman;serif"/>
          <w:b w:val="false"/>
          <w:color w:val="000000"/>
          <w:sz w:val="22"/>
        </w:rPr>
        <w:t>. (a) 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xml:space="preserve">) that the Administrative Agent has determined in its sole discretion (whether or not after receipt of any notice under immediately succeeding </w:t>
      </w:r>
      <w:r>
        <w:rPr>
          <w:rFonts w:ascii="Times New Roman;serif" w:hAnsi="Times New Roman;serif"/>
          <w:b w:val="false"/>
          <w:color w:val="000000"/>
          <w:sz w:val="22"/>
          <w:u w:val="single"/>
        </w:rPr>
        <w:t>clause (b)</w:t>
      </w:r>
      <w:r>
        <w:rPr>
          <w:rFonts w:ascii="Times New Roman;serif" w:hAnsi="Times New Roman;serif"/>
          <w:b w:val="false"/>
          <w:color w:val="000000"/>
          <w:sz w:val="22"/>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and demands the return of such Erroneous Payment (or a portion thereof), such Erroneous Payment shall at all times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036955"/>
                <wp:effectExtent l="0" t="0" r="0" b="0"/>
                <wp:wrapNone/>
                <wp:docPr id="255" name="Frame25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129</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40" w:before="0" w:after="240"/>
        <w:ind w:left="0" w:right="0" w:firstLine="1980"/>
        <w:jc w:val="both"/>
        <w:rPr/>
      </w:pPr>
      <w:bookmarkStart w:id="560" w:name="i290aeae84bf943babc6b9a66b35c0a56"/>
      <w:bookmarkEnd w:id="560"/>
      <w:r>
        <w:rPr>
          <w:rFonts w:ascii="Times New Roman;serif" w:hAnsi="Times New Roman;serif"/>
          <w:b w:val="false"/>
          <w:color w:val="000000"/>
          <w:sz w:val="22"/>
        </w:rPr>
        <w:t>(a)</w:t>
      </w:r>
      <w:r>
        <w:rPr>
          <w:rFonts w:ascii="Times New Roman;serif" w:hAnsi="Times New Roman;serif"/>
          <w:b w:val="false"/>
          <w:color w:val="000000"/>
          <w:sz w:val="22"/>
        </w:rPr>
        <w:t xml:space="preserve">Without limiting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 </w:t>
      </w:r>
    </w:p>
    <w:p>
      <w:pPr>
        <w:pStyle w:val="TextBody"/>
        <w:bidi w:val="0"/>
        <w:spacing w:lineRule="auto" w:line="240" w:before="0" w:after="240"/>
        <w:ind w:left="0" w:right="0" w:firstLine="1440"/>
        <w:jc w:val="both"/>
        <w:rPr/>
      </w:pPr>
      <w:bookmarkStart w:id="561" w:name="id9c67b56658b42a9ab6e064cfe80eeb7"/>
      <w:bookmarkEnd w:id="561"/>
      <w:r>
        <w:rPr>
          <w:rFonts w:ascii="Times New Roman;serif" w:hAnsi="Times New Roman;serif"/>
          <w:b w:val="false"/>
          <w:color w:val="000000"/>
          <w:sz w:val="22"/>
        </w:rPr>
        <w:t xml:space="preserve">(i)(A) in the case of immediately preceding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 error shall be presumed to have been made (absent written confirmation from the Administrative Agent to the contrary) or (B) an error has been made (in the case of immediately preceding </w:t>
      </w:r>
      <w:r>
        <w:rPr>
          <w:rFonts w:ascii="Times New Roman;serif" w:hAnsi="Times New Roman;serif"/>
          <w:b w:val="false"/>
          <w:color w:val="000000"/>
          <w:sz w:val="22"/>
          <w:u w:val="single"/>
        </w:rPr>
        <w:t>clause (z)</w:t>
      </w:r>
      <w:r>
        <w:rPr>
          <w:rFonts w:ascii="Times New Roman;serif" w:hAnsi="Times New Roman;serif"/>
          <w:b w:val="false"/>
          <w:color w:val="000000"/>
          <w:sz w:val="22"/>
        </w:rPr>
        <w:t>), in each case, with respect to such payment, prepayment or repayment; and</w:t>
      </w:r>
    </w:p>
    <w:p>
      <w:pPr>
        <w:pStyle w:val="TextBody"/>
        <w:bidi w:val="0"/>
        <w:spacing w:lineRule="auto" w:line="240" w:before="0" w:after="240"/>
        <w:ind w:left="0" w:right="0" w:firstLine="1440"/>
        <w:jc w:val="both"/>
        <w:rPr/>
      </w:pPr>
      <w:bookmarkStart w:id="562" w:name="i99cc0e06d080497884bc7fec9d75b5b0"/>
      <w:bookmarkEnd w:id="562"/>
      <w:r>
        <w:rPr>
          <w:rFonts w:ascii="Times New Roman;serif" w:hAnsi="Times New Roman;serif"/>
          <w:b w:val="false"/>
          <w:color w:val="000000"/>
          <w:sz w:val="22"/>
        </w:rPr>
        <w:t xml:space="preserve">(ii)such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2"/>
          <w:u w:val="single"/>
        </w:rPr>
        <w:t>Section 9.15(b)</w:t>
      </w:r>
      <w:r>
        <w:rPr>
          <w:rFonts w:ascii="Times New Roman;serif" w:hAnsi="Times New Roman;serif"/>
          <w:b w:val="false"/>
          <w:color w:val="000000"/>
          <w:sz w:val="22"/>
        </w:rPr>
        <w:t>.</w:t>
      </w:r>
    </w:p>
    <w:p>
      <w:pPr>
        <w:pStyle w:val="TextBody"/>
        <w:bidi w:val="0"/>
        <w:spacing w:lineRule="auto" w:line="240" w:before="0" w:after="240"/>
        <w:ind w:left="0" w:right="0" w:firstLine="1980"/>
        <w:jc w:val="both"/>
        <w:rPr/>
      </w:pPr>
      <w:bookmarkStart w:id="563" w:name="id080ab3bfde5479996a48461253c6aa3"/>
      <w:bookmarkEnd w:id="563"/>
      <w:r>
        <w:rPr>
          <w:rFonts w:ascii="Times New Roman;serif" w:hAnsi="Times New Roman;serif"/>
          <w:b w:val="false"/>
          <w:color w:val="000000"/>
          <w:sz w:val="22"/>
        </w:rPr>
        <w:t>(b)</w:t>
      </w:r>
      <w:r>
        <w:rPr>
          <w:rFonts w:ascii="Times New Roman;serif" w:hAnsi="Times New Roman;serif"/>
          <w:b w:val="false"/>
          <w:color w:val="000000"/>
          <w:sz w:val="22"/>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against any amount due to the Administrative Agent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or under the indemnification provisions of this Agreement.</w:t>
      </w:r>
    </w:p>
    <w:p>
      <w:pPr>
        <w:pStyle w:val="TextBody"/>
        <w:bidi w:val="0"/>
        <w:spacing w:lineRule="auto" w:line="240" w:before="0" w:after="240"/>
        <w:ind w:left="0" w:right="0" w:firstLine="1980"/>
        <w:jc w:val="both"/>
        <w:rPr/>
      </w:pPr>
      <w:bookmarkStart w:id="564" w:name="i562c4df5b24a4bd5ab64e1652b984437"/>
      <w:bookmarkEnd w:id="564"/>
      <w:r>
        <w:rPr>
          <w:rFonts w:ascii="Times New Roman;serif" w:hAnsi="Times New Roman;serif"/>
          <w:b w:val="false"/>
          <w:color w:val="000000"/>
          <w:sz w:val="22"/>
        </w:rPr>
        <w:t>(c)</w:t>
      </w:r>
      <w:r>
        <w:rPr>
          <w:rFonts w:ascii="Times New Roman;serif" w:hAnsi="Times New Roman;serif"/>
          <w:b w:val="false"/>
          <w:color w:val="000000"/>
          <w:sz w:val="22"/>
        </w:rPr>
        <w:t xml:space="preserve">In the event that an Erroneous Payment (or portion thereof) is not recovered by the Administrative Agent for any reason, after demand therefor by the Administrative Agent in accordance with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9.15</w:t>
      </w:r>
      <w:r>
        <w:rPr>
          <w:rFonts w:ascii="Times New Roman;serif" w:hAnsi="Times New Roman;serif"/>
          <w:b w:val="false"/>
          <w:color w:val="000000"/>
          <w:sz w:val="22"/>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2"/>
          <w:u w:val="single"/>
        </w:rPr>
        <w:t>Erroneous Payment Return Deficiency</w:t>
      </w:r>
      <w:r>
        <w:rPr>
          <w:color w:val="000000"/>
        </w:rPr>
        <w:t>”</w:t>
      </w:r>
      <w:r>
        <w:rPr>
          <w:rFonts w:ascii="Times New Roman;serif" w:hAnsi="Times New Roman;serif"/>
          <w:b w:val="false"/>
          <w:color w:val="000000"/>
          <w:sz w:val="22"/>
        </w:rPr>
        <w:t>), upon the Administrative Agent’s notice to such Lender or Issuing Lender at any time, (i) such Lender or Issuing Bank shall be deemed to have assigned its Loans (but not its Commitments) of the relevant Class with respect to which such Erroneous Payment was made (the “</w:t>
      </w:r>
      <w:r>
        <w:rPr>
          <w:rFonts w:ascii="Times New Roman;serif" w:hAnsi="Times New Roman;serif"/>
          <w:b w:val="false"/>
          <w:color w:val="000000"/>
          <w:sz w:val="22"/>
          <w:u w:val="single"/>
        </w:rPr>
        <w:t>Erroneous Payment Impacted Class</w:t>
      </w:r>
      <w:r>
        <w:rPr>
          <w:color w:val="000000"/>
        </w:rPr>
        <w:t>”</w:t>
      </w:r>
      <w:r>
        <w:rPr>
          <w:rFonts w:ascii="Times New Roman;serif" w:hAnsi="Times New Roman;serif"/>
          <w:b w:val="false"/>
          <w:color w:val="000000"/>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color w:val="000000"/>
          <w:sz w:val="22"/>
          <w:u w:val="single"/>
        </w:rPr>
        <w:t>Erroneous Payment Deficiency Assignment</w:t>
      </w:r>
      <w:r>
        <w:rPr>
          <w:color w:val="000000"/>
        </w:rPr>
        <w:t>”</w:t>
      </w:r>
      <w:r>
        <w:rPr>
          <w:rFonts w:ascii="Times New Roman;serif" w:hAnsi="Times New Roman;serif"/>
          <w:b w:val="false"/>
          <w:color w:val="000000"/>
          <w:sz w:val="22"/>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036955"/>
                <wp:effectExtent l="0" t="0" r="0" b="0"/>
                <wp:wrapNone/>
                <wp:docPr id="256" name="Frame25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Deficiency Assignment, and such Lender or Issuing Bank shall deliver any promissory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serif" w:hAnsi="Times New Roman;serif"/>
          <w:b w:val="false"/>
          <w:color w:val="000000"/>
          <w:sz w:val="22"/>
          <w:u w:val="single"/>
        </w:rPr>
        <w:t>Erroneous Payment Subrogation Rights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980"/>
        <w:jc w:val="both"/>
        <w:rPr/>
      </w:pPr>
      <w:bookmarkStart w:id="565" w:name="idb1405c6d02947acb678c6fa50874d25"/>
      <w:bookmarkEnd w:id="565"/>
      <w:r>
        <w:rPr>
          <w:rFonts w:ascii="Times New Roman;serif" w:hAnsi="Times New Roman;serif"/>
          <w:b w:val="false"/>
          <w:color w:val="000000"/>
          <w:sz w:val="22"/>
        </w:rPr>
        <w:t>(d)</w:t>
      </w:r>
      <w:r>
        <w:rPr>
          <w:rFonts w:ascii="Times New Roman;serif" w:hAnsi="Times New Roman;serif"/>
          <w:b w:val="false"/>
          <w:color w:val="000000"/>
          <w:sz w:val="22"/>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spacing w:lineRule="auto" w:line="240" w:before="0" w:after="240"/>
        <w:ind w:left="0" w:right="0" w:firstLine="1980"/>
        <w:jc w:val="both"/>
        <w:rPr/>
      </w:pPr>
      <w:bookmarkStart w:id="566" w:name="ie54541859e654004847f2c49debda49a"/>
      <w:bookmarkEnd w:id="566"/>
      <w:r>
        <w:rPr>
          <w:rFonts w:ascii="Times New Roman;serif" w:hAnsi="Times New Roman;serif"/>
          <w:b w:val="false"/>
          <w:color w:val="000000"/>
          <w:sz w:val="22"/>
        </w:rPr>
        <w:t>(e)</w:t>
      </w:r>
      <w:r>
        <w:rPr>
          <w:rFonts w:ascii="Times New Roman;serif" w:hAnsi="Times New Roman;serif"/>
          <w:b w:val="false"/>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lineRule="auto" w:line="240" w:before="0" w:after="240"/>
        <w:ind w:left="0" w:right="0" w:firstLine="1980"/>
        <w:jc w:val="both"/>
        <w:rPr/>
      </w:pPr>
      <w:bookmarkStart w:id="567" w:name="if38fc2cb4fd248ccae899e34f513240e"/>
      <w:bookmarkEnd w:id="567"/>
      <w:r>
        <w:rPr>
          <w:rFonts w:ascii="Times New Roman;serif" w:hAnsi="Times New Roman;serif"/>
          <w:b w:val="false"/>
          <w:color w:val="000000"/>
          <w:sz w:val="22"/>
        </w:rPr>
        <w:t>(f)</w:t>
      </w:r>
      <w:r>
        <w:rPr>
          <w:rFonts w:ascii="Times New Roman;serif" w:hAnsi="Times New Roman;serif"/>
          <w:b w:val="false"/>
          <w:color w:val="000000"/>
          <w:sz w:val="22"/>
        </w:rPr>
        <w:t xml:space="preserve">Each party’s obligations, agreements and waivers under this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shall survive the resignation or replacement of the Administrative Agent, any transfer of rights or obligations by, or the replacement of, a Lender or Issuing Bank,</w:t>
      </w:r>
      <w:r>
        <w:rPr>
          <w:color w:val="000000"/>
        </w:rPr>
        <w:t xml:space="preserve"> </w:t>
      </w:r>
      <w:r>
        <w:rPr>
          <w:rFonts w:ascii="Times New Roman;serif" w:hAnsi="Times New Roman;serif"/>
          <w:b w:val="false"/>
          <w:color w:val="000000"/>
          <w:sz w:val="22"/>
        </w:rPr>
        <w:t>the termination of the Commitments and/or the repayment, satisfaction or discharge of all Obligations (or any portion thereof) under any Loan Document.</w:t>
      </w:r>
    </w:p>
    <w:p>
      <w:pPr>
        <w:pStyle w:val="TextBody"/>
        <w:bidi w:val="0"/>
        <w:spacing w:lineRule="auto" w:line="240" w:before="0" w:after="240"/>
        <w:jc w:val="center"/>
        <w:rPr/>
      </w:pPr>
      <w:bookmarkStart w:id="568" w:name="i5b9a34ebd9494202a2e31b3189d8a1ed"/>
      <w:bookmarkEnd w:id="568"/>
      <w:r>
        <w:rPr>
          <w:rFonts w:ascii="Times New Roman;serif" w:hAnsi="Times New Roman;serif"/>
          <w:b/>
          <w:color w:val="000000"/>
          <w:sz w:val="22"/>
        </w:rPr>
        <w:t>Article X</w:t>
      </w:r>
      <w:r>
        <w:rPr>
          <w:rFonts w:ascii="Times New Roman;serif" w:hAnsi="Times New Roman;serif"/>
          <w:b/>
          <w:color w:val="000000"/>
          <w:sz w:val="22"/>
          <w:u w:val="single"/>
        </w:rPr>
        <w:br/>
        <w:br/>
        <w:t>MISCELLANEOUS</w:t>
      </w:r>
    </w:p>
    <w:p>
      <w:pPr>
        <w:pStyle w:val="TextBody"/>
        <w:bidi w:val="0"/>
        <w:spacing w:lineRule="auto" w:line="240" w:before="0" w:after="240"/>
        <w:ind w:left="0" w:right="0" w:firstLine="720"/>
        <w:jc w:val="both"/>
        <w:rPr/>
      </w:pPr>
      <w:bookmarkStart w:id="569" w:name="iaa84f3ef2a6f40f0826bf2a2d3e819af"/>
      <w:bookmarkEnd w:id="569"/>
      <w:r>
        <w:rPr>
          <w:rFonts w:ascii="Times New Roman;serif" w:hAnsi="Times New Roman;serif"/>
          <w:b/>
          <w:color w:val="000000"/>
          <w:sz w:val="22"/>
        </w:rPr>
        <w:t>Section 10.1</w:t>
      </w:r>
      <w:r>
        <w:rPr>
          <w:rFonts w:ascii="Times New Roman;serif" w:hAnsi="Times New Roman;serif"/>
          <w:b/>
          <w:color w:val="000000"/>
          <w:sz w:val="22"/>
          <w:u w:val="single"/>
        </w:rPr>
        <w:t>Notices.</w:t>
      </w:r>
    </w:p>
    <w:p>
      <w:pPr>
        <w:pStyle w:val="TextBody"/>
        <w:bidi w:val="0"/>
        <w:spacing w:lineRule="auto" w:line="240" w:before="0" w:after="240"/>
        <w:ind w:left="0" w:right="0" w:firstLine="1440"/>
        <w:jc w:val="both"/>
        <w:rPr/>
      </w:pPr>
      <w:bookmarkStart w:id="570" w:name="i8b1f2decaf31467eb82b35249c560eb3"/>
      <w:bookmarkEnd w:id="570"/>
      <w:r>
        <w:rPr>
          <w:rFonts w:ascii="Times New Roman;serif" w:hAnsi="Times New Roman;serif"/>
          <w:b w:val="false"/>
          <w:color w:val="000000"/>
          <w:sz w:val="22"/>
        </w:rPr>
        <w:t>(a)</w:t>
      </w:r>
      <w:r>
        <w:rPr>
          <w:rFonts w:ascii="Times New Roman;serif" w:hAnsi="Times New Roman;serif"/>
          <w:b w:val="false"/>
          <w:color w:val="000000"/>
          <w:sz w:val="22"/>
          <w:u w:val="single"/>
        </w:rPr>
        <w:t>Written Notices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71" w:name="iadd85b92f1a64e59b36c432f9944c158"/>
      <w:bookmarkEnd w:id="571"/>
      <w:r>
        <w:rPr>
          <w:rFonts w:ascii="Times New Roman;serif" w:hAnsi="Times New Roman;serif"/>
          <w:b w:val="false"/>
          <w:color w:val="000000"/>
          <w:sz w:val="22"/>
        </w:rPr>
        <w:t>(i)Except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facsimile,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036955"/>
                <wp:effectExtent l="0" t="0" r="0" b="0"/>
                <wp:wrapNone/>
                <wp:docPr id="257" name="Frame25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36"/>
        <w:gridCol w:w="1430"/>
        <w:gridCol w:w="1438"/>
        <w:gridCol w:w="109"/>
        <w:gridCol w:w="109"/>
        <w:gridCol w:w="109"/>
        <w:gridCol w:w="1573"/>
        <w:gridCol w:w="1573"/>
        <w:gridCol w:w="2228"/>
      </w:tblGrid>
      <w:tr>
        <w:trPr/>
        <w:tc>
          <w:tcPr>
            <w:tcW w:w="163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To the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Collegium Pharmaceutical, Inc.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100 Technology Center Drive, Suite 300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Stoughton, MA 02072</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David Dieter, General Counsel</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Number: [***]</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to (for information purposes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Cooley LLP</w:t>
              <w:br/>
              <w:t>1299 Pennsylvania Avenue, NW</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Suite 700</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Washington, DC 20004-2400</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Michael Tollini, Esq.</w:t>
              <w:br/>
              <w:t>Email: [***]</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To the Administrative Agent: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3333 Peachtree Road</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Atlanta, GA 30326</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Portfolio Manager – Collegium</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Email: [***]</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Facsimile Number: [***]</w:t>
            </w:r>
          </w:p>
        </w:tc>
      </w:tr>
      <w:tr>
        <w:trPr/>
        <w:tc>
          <w:tcPr>
            <w:tcW w:w="45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copies to (for information purposes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740 Battery Avenue SE</w:t>
            </w:r>
          </w:p>
          <w:p>
            <w:pPr>
              <w:pStyle w:val="TableContents"/>
              <w:bidi w:val="0"/>
              <w:spacing w:lineRule="auto" w:line="288" w:before="0" w:after="0"/>
              <w:jc w:val="left"/>
              <w:rPr/>
            </w:pPr>
            <w:r>
              <w:rPr>
                <w:rFonts w:ascii="Times New Roman;serif" w:hAnsi="Times New Roman;serif"/>
                <w:b w:val="false"/>
                <w:color w:val="000000"/>
                <w:sz w:val="22"/>
              </w:rPr>
              <w:t>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Atlanta, GA 30339</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Graham Lewis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and</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Truist Bank</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Agency Services</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303 Peachtree Street, N.E. / 25th Floor</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Atlanta, Georgia 30308</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Agency Services Manager</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Facsimile Number: [***]</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and</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Alston &amp; Bird LLP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1201 West Peachtree Street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Atlanta, Georgia 30309</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Adam R. Monich, Esq.; Brendan Gibson, Esq.</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tc>
      </w:tr>
      <w:tr>
        <w:trPr/>
        <w:tc>
          <w:tcPr>
            <w:tcW w:w="45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To the Issuing Banks: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Truist Bank</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Attn: Standby Letter of Credit Dept.</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303 Peachtree Street NE </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 Mail Code 803-05-25-60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036955"/>
                <wp:effectExtent l="0" t="0" r="0" b="0"/>
                <wp:wrapNone/>
                <wp:docPr id="258" name="Frame25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25"/>
        <w:gridCol w:w="635"/>
        <w:gridCol w:w="639"/>
        <w:gridCol w:w="109"/>
        <w:gridCol w:w="109"/>
        <w:gridCol w:w="109"/>
        <w:gridCol w:w="2456"/>
        <w:gridCol w:w="2236"/>
        <w:gridCol w:w="3187"/>
      </w:tblGrid>
      <w:tr>
        <w:trPr/>
        <w:tc>
          <w:tcPr>
            <w:tcW w:w="7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Atlanta, GA 30308</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Telephone: [***]</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To the Swingline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Truist Bank</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Agency Services</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303 Peachtree Street, N.E. / 25th Floor</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Atlanta, Georgia 30308</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Agency Services Manager</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Facsimile Number: [***]</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To any other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address set forth in the Administrative Questionnaire or the Assignment and Acceptance executed by such Lender</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party hereto may change its address or facsimile number for notices and other communications hereunder by notice to the other parties hereto.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72" w:name="if629d90dca894ef38265cf88b06bc156"/>
      <w:bookmarkEnd w:id="572"/>
      <w:r>
        <w:rPr>
          <w:rFonts w:ascii="Times New Roman;serif" w:hAnsi="Times New Roman;serif"/>
          <w:b w:val="false"/>
          <w:color w:val="000000"/>
          <w:sz w:val="22"/>
        </w:rPr>
        <w:t>(ii)Any agreement of the Administrative Agent, any Issuing Bank or any Lender herein to receive certain notices by telephone or facsimile is solely for the convenience and at the request of the Borrower. The Administrative Agent, each Issuing Bank and each Lender shall be entitled to rely on the authority of any Person purporting to be a Person authorized by the Borrower to give such notice and the Administrative Agent, the Issuing Banks and the Lenders shall not have any liability to the Borrower or other Person on account of any action taken or not taken by the Administrative Agent, any Issuing Bank or any Lender in reliance upon such telephonic or facsimile notice. The obligation of the Borrower to repay the Loans and all other Obligations hereunder shall not be affected in any way or to any extent by any failure of the Administrative Agent, any Issuing Bank or any Lender to receive written confirmation of any telephonic or facsimile notice or the receipt by the Administrative Agent, any Issuing Bank or any Lender of a confirmation which is at variance with the terms understood by the Administrative Agent, such Issuing Bank and such Lender to be contained in any such telephonic or facsimile notice.</w:t>
      </w:r>
    </w:p>
    <w:p>
      <w:pPr>
        <w:pStyle w:val="TextBody"/>
        <w:bidi w:val="0"/>
        <w:spacing w:lineRule="auto" w:line="240" w:before="0" w:after="240"/>
        <w:ind w:left="0" w:right="0" w:firstLine="1440"/>
        <w:jc w:val="both"/>
        <w:rPr/>
      </w:pPr>
      <w:bookmarkStart w:id="573" w:name="ibf36c962a3b9421589345696e4ed9166"/>
      <w:bookmarkEnd w:id="573"/>
      <w:r>
        <w:rPr>
          <w:rFonts w:ascii="Times New Roman;serif" w:hAnsi="Times New Roman;serif"/>
          <w:b w:val="false"/>
          <w:color w:val="00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574" w:name="icf4f435b66a4476db54eadf2bdddfa37"/>
      <w:bookmarkEnd w:id="574"/>
      <w:r>
        <w:rPr>
          <w:rFonts w:ascii="Times New Roman;serif" w:hAnsi="Times New Roman;serif"/>
          <w:b w:val="false"/>
          <w:color w:val="000000"/>
          <w:sz w:val="22"/>
        </w:rPr>
        <w:t xml:space="preserve">(i)Notices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or any Issuing Bank if such Lender or such Issuing Bank, as applicable, has notified the Administrative Agent that it is incapable of receiving, or is unwilling to receive, notices by electronic communication.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0" w:after="240"/>
        <w:ind w:left="0" w:right="0" w:firstLine="1440"/>
        <w:jc w:val="both"/>
        <w:rPr/>
      </w:pPr>
      <w:bookmarkStart w:id="575" w:name="i151ecab6c765433f8487c8bf602dbf94"/>
      <w:bookmarkEnd w:id="575"/>
      <w:r>
        <w:rPr>
          <w:rFonts w:ascii="Times New Roman;serif" w:hAnsi="Times New Roman;serif"/>
          <w:b w:val="false"/>
          <w:color w:val="000000"/>
          <w:sz w:val="22"/>
        </w:rPr>
        <w:t xml:space="preserve">(ii)Unless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clauses (A) and (B) above, if such notice or other communication is not sent during the normal business hours of the recipient, such notice or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036955"/>
                <wp:effectExtent l="0" t="0" r="0" b="0"/>
                <wp:wrapNone/>
                <wp:docPr id="259" name="Frame25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communication shall be deemed to have been sent at the opening of business on the next Business Day for the recipient.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76" w:name="i1e53cbbc9cae407a9b4f87e142f253b3"/>
      <w:bookmarkEnd w:id="576"/>
      <w:r>
        <w:rPr>
          <w:rFonts w:ascii="Times New Roman;serif" w:hAnsi="Times New Roman;serif"/>
          <w:b w:val="false"/>
          <w:color w:val="000000"/>
          <w:sz w:val="22"/>
        </w:rPr>
        <w:t>(iii)The Borrower agrees that the Administrative Agent may, but shall not be obligated to, make Communications (as defined below) available to the Issuing Banks and the other Lenders by posting the Communications on Debt Domain, Intralinks, Syndtrak, ClearPar or a substantially similar electronic system.</w:t>
      </w:r>
    </w:p>
    <w:p>
      <w:pPr>
        <w:pStyle w:val="TextBody"/>
        <w:bidi w:val="0"/>
        <w:spacing w:lineRule="auto" w:line="240" w:before="0" w:after="240"/>
        <w:ind w:left="0" w:right="0" w:firstLine="1440"/>
        <w:jc w:val="both"/>
        <w:rPr/>
      </w:pPr>
      <w:bookmarkStart w:id="577" w:name="idfc6d90918ec447096f02e2aa177a92a"/>
      <w:bookmarkEnd w:id="577"/>
      <w:r>
        <w:rPr>
          <w:rFonts w:ascii="Times New Roman;serif" w:hAnsi="Times New Roman;serif"/>
          <w:b w:val="false"/>
          <w:color w:val="000000"/>
          <w:sz w:val="22"/>
        </w:rPr>
        <w:t xml:space="preserve">(iv)THE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any Issuing Bank or any other Person or entity for losses, claims, damages, liabilities or expenses of any kind, including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Administrative Agent or any Related Party have any liability to any Loan Party or any of their respective Subsidiaries, any Lender, any Issuing Bank or any other Person for indirect, special, incidental, consequential or punitive damages (as opposed to direct or actual damages) arising out of any Loan Party’s or the Administrative Agent’s transmission of Communications. “</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shall mean,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the Platform.</w:t>
      </w:r>
    </w:p>
    <w:p>
      <w:pPr>
        <w:pStyle w:val="TextBody"/>
        <w:bidi w:val="0"/>
        <w:spacing w:lineRule="auto" w:line="240" w:before="0" w:after="240"/>
        <w:ind w:left="0" w:right="0" w:firstLine="1440"/>
        <w:jc w:val="both"/>
        <w:rPr/>
      </w:pPr>
      <w:bookmarkStart w:id="578" w:name="i38338f718c5d4266ad49b9eb368faeb1"/>
      <w:bookmarkEnd w:id="578"/>
      <w:r>
        <w:rPr>
          <w:rFonts w:ascii="Times New Roman;serif" w:hAnsi="Times New Roman;serif"/>
          <w:b w:val="false"/>
          <w:color w:val="000000"/>
          <w:sz w:val="22"/>
        </w:rPr>
        <w:t>(c)</w:t>
      </w:r>
      <w:r>
        <w:rPr>
          <w:rFonts w:ascii="Times New Roman;serif" w:hAnsi="Times New Roman;serif"/>
          <w:b w:val="false"/>
          <w:color w:val="000000"/>
          <w:sz w:val="22"/>
          <w:u w:val="single"/>
        </w:rPr>
        <w:t>Telephonic Notices</w:t>
      </w:r>
      <w:r>
        <w:rPr>
          <w:rFonts w:ascii="Times New Roman;serif" w:hAnsi="Times New Roman;serif"/>
          <w:b w:val="false"/>
          <w:color w:val="000000"/>
          <w:sz w:val="22"/>
        </w:rPr>
        <w:t>. Unless otherwise expressly provided herein,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1440"/>
        <w:jc w:val="both"/>
        <w:rPr/>
      </w:pPr>
      <w:bookmarkStart w:id="579" w:name="id3361ed7aa0242b8b02a2925bb9419b3"/>
      <w:bookmarkEnd w:id="579"/>
      <w:r>
        <w:rPr>
          <w:rFonts w:ascii="Times New Roman;serif" w:hAnsi="Times New Roman;serif"/>
          <w:b w:val="false"/>
          <w:color w:val="000000"/>
          <w:sz w:val="22"/>
        </w:rPr>
        <w:t xml:space="preserve">(i)if to the Borrower, the Administrative Agent or an Issuing Bank, to the address, facsimile number, electronic mail address or telephone number specified for such Person in </w:t>
      </w:r>
      <w:r>
        <w:rPr>
          <w:rFonts w:ascii="Times New Roman;serif" w:hAnsi="Times New Roman;serif"/>
          <w:b w:val="false"/>
          <w:color w:val="000000"/>
          <w:sz w:val="22"/>
          <w:u w:val="single"/>
        </w:rPr>
        <w:t>Section 10.1(a)</w:t>
      </w:r>
      <w:r>
        <w:rPr>
          <w:color w:val="000000"/>
        </w:rPr>
        <w:t xml:space="preserve"> </w:t>
      </w:r>
      <w:r>
        <w:rPr>
          <w:rFonts w:ascii="Times New Roman;serif" w:hAnsi="Times New Roman;serif"/>
          <w:b w:val="false"/>
          <w:color w:val="000000"/>
          <w:sz w:val="22"/>
        </w:rPr>
        <w:t xml:space="preserve">or to such other address, facsimile number, electronic mail address or telephone number as shall be designated by such party in a notice to the other parties hereto, as provided in </w:t>
      </w:r>
      <w:r>
        <w:rPr>
          <w:rFonts w:ascii="Times New Roman;serif" w:hAnsi="Times New Roman;serif"/>
          <w:b w:val="false"/>
          <w:color w:val="000000"/>
          <w:sz w:val="22"/>
          <w:u w:val="single"/>
        </w:rPr>
        <w:t>Section 10.1(d)</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80" w:name="i762f402f31d1420683a465ae8eddafbe"/>
      <w:bookmarkEnd w:id="580"/>
      <w:r>
        <w:rPr>
          <w:rFonts w:ascii="Times New Roman;serif" w:hAnsi="Times New Roman;serif"/>
          <w:b w:val="false"/>
          <w:color w:val="000000"/>
          <w:sz w:val="22"/>
        </w:rPr>
        <w:t>(ii)if to any other Lender, to the address, facsimile number, electronic mail address or telephone number specified in its Administrative Questionnaire.</w:t>
      </w:r>
    </w:p>
    <w:p>
      <w:pPr>
        <w:pStyle w:val="TextBody"/>
        <w:bidi w:val="0"/>
        <w:spacing w:lineRule="auto" w:line="240" w:before="0" w:after="240"/>
        <w:ind w:left="0" w:right="0" w:firstLine="1440"/>
        <w:jc w:val="both"/>
        <w:rPr/>
      </w:pPr>
      <w:bookmarkStart w:id="581" w:name="i7882b3a825d9450f8e2d237144d2e0f9"/>
      <w:bookmarkEnd w:id="581"/>
      <w:r>
        <w:rPr>
          <w:rFonts w:ascii="Times New Roman;serif" w:hAnsi="Times New Roman;serif"/>
          <w:b w:val="false"/>
          <w:color w:val="000000"/>
          <w:sz w:val="22"/>
        </w:rPr>
        <w:t>(d)</w:t>
      </w:r>
      <w:r>
        <w:rPr>
          <w:rFonts w:ascii="Times New Roman;serif" w:hAnsi="Times New Roman;serif"/>
          <w:b w:val="false"/>
          <w:color w:val="000000"/>
          <w:sz w:val="22"/>
        </w:rPr>
        <w:t xml:space="preserve">All such notices and other communications sent to any party hereto in accordance with the provisions of this Agreement are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036955"/>
                <wp:effectExtent l="0" t="0" r="0" b="0"/>
                <wp:wrapNone/>
                <wp:docPr id="260" name="Frame25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(D) if delivered by electronic mail, to the extent provided in clause (b) above and effective as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in such clause; provided that notices and other communications to the Administrative Agent and an Issuing Bank pursuant to Article II shall not be effective until actually received by such Person. In no event shall a voice mail message be effective as a notice, communication or confirmation hereunder.</w:t>
      </w:r>
    </w:p>
    <w:p>
      <w:pPr>
        <w:pStyle w:val="TextBody"/>
        <w:bidi w:val="0"/>
        <w:spacing w:lineRule="auto" w:line="240" w:before="0" w:after="240"/>
        <w:ind w:left="0" w:right="0" w:firstLine="1440"/>
        <w:jc w:val="both"/>
        <w:rPr/>
      </w:pPr>
      <w:bookmarkStart w:id="582" w:name="i3375236aa050480b87317465d167e5ee"/>
      <w:bookmarkEnd w:id="582"/>
      <w:r>
        <w:rPr>
          <w:rFonts w:ascii="Times New Roman;serif" w:hAnsi="Times New Roman;serif"/>
          <w:b w:val="false"/>
          <w:color w:val="000000"/>
          <w:sz w:val="22"/>
        </w:rPr>
        <w:t>(e)</w:t>
      </w:r>
      <w:r>
        <w:rPr>
          <w:rFonts w:ascii="Times New Roman;serif" w:hAnsi="Times New Roman;serif"/>
          <w:b w:val="false"/>
          <w:color w:val="000000"/>
          <w:sz w:val="22"/>
        </w:rPr>
        <w:t>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Agents and the Lenders.</w:t>
      </w:r>
    </w:p>
    <w:p>
      <w:pPr>
        <w:pStyle w:val="TextBody"/>
        <w:bidi w:val="0"/>
        <w:spacing w:lineRule="auto" w:line="240" w:before="0" w:after="240"/>
        <w:ind w:left="0" w:right="0" w:firstLine="720"/>
        <w:jc w:val="both"/>
        <w:rPr/>
      </w:pPr>
      <w:bookmarkStart w:id="583" w:name="i84dc91a4f8f64d3b9509522f81672466"/>
      <w:bookmarkEnd w:id="583"/>
      <w:r>
        <w:rPr>
          <w:rFonts w:ascii="Times New Roman;serif" w:hAnsi="Times New Roman;serif"/>
          <w:b/>
          <w:color w:val="000000"/>
          <w:sz w:val="22"/>
        </w:rPr>
        <w:t>Section 10.2</w:t>
      </w:r>
      <w:r>
        <w:rPr>
          <w:rFonts w:ascii="Times New Roman;serif" w:hAnsi="Times New Roman;serif"/>
          <w:b/>
          <w:color w:val="000000"/>
          <w:sz w:val="22"/>
          <w:u w:val="single"/>
        </w:rPr>
        <w:t>Waiver; Amendments.</w:t>
      </w:r>
    </w:p>
    <w:p>
      <w:pPr>
        <w:pStyle w:val="TextBody"/>
        <w:bidi w:val="0"/>
        <w:spacing w:lineRule="auto" w:line="240" w:before="0" w:after="240"/>
        <w:ind w:left="0" w:right="0" w:firstLine="1440"/>
        <w:jc w:val="both"/>
        <w:rPr/>
      </w:pPr>
      <w:bookmarkStart w:id="584" w:name="idc8a6180547a4b9d876bf032ed56de60"/>
      <w:bookmarkEnd w:id="584"/>
      <w:r>
        <w:rPr>
          <w:rFonts w:ascii="Times New Roman;serif" w:hAnsi="Times New Roman;serif"/>
          <w:b w:val="false"/>
          <w:color w:val="000000"/>
          <w:sz w:val="22"/>
        </w:rPr>
        <w:t>(a)</w:t>
      </w:r>
      <w:r>
        <w:rPr>
          <w:rFonts w:ascii="Times New Roman;serif" w:hAnsi="Times New Roman;serif"/>
          <w:b w:val="false"/>
          <w:color w:val="000000"/>
          <w:sz w:val="22"/>
        </w:rPr>
        <w:t>No failure or delay by the Administrative Agent, any Issuing Bank or any Lender in exercising any right or power hereunder or under any other Loan Document, and no course of dealing between the Borrower and the Administrative Agent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Banks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any Issuing Bank may have had notice or knowledge of such Default or Event of Default at the time.</w:t>
      </w:r>
    </w:p>
    <w:p>
      <w:pPr>
        <w:pStyle w:val="TextBody"/>
        <w:bidi w:val="0"/>
        <w:spacing w:lineRule="auto" w:line="240" w:before="0" w:after="240"/>
        <w:ind w:left="0" w:right="0" w:firstLine="1440"/>
        <w:jc w:val="both"/>
        <w:rPr/>
      </w:pPr>
      <w:bookmarkStart w:id="585" w:name="ifb8d7566b87b4097adadf52372dc6369"/>
      <w:bookmarkEnd w:id="585"/>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in this Agreement, including as provided in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with respect to the implementation of a Benchmark Replacement or Conforming Changes (as set forth therein), no amendment or waiver of any provision of this Agreement or of the other Loan Documents (other than the Fee Letters),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provided that, subject to </w:t>
      </w:r>
      <w:r>
        <w:rPr>
          <w:rFonts w:ascii="Times New Roman;serif" w:hAnsi="Times New Roman;serif"/>
          <w:b w:val="false"/>
          <w:color w:val="000000"/>
          <w:sz w:val="22"/>
          <w:u w:val="single"/>
        </w:rPr>
        <w:t>Section 2.16(b)</w:t>
      </w:r>
      <w:r>
        <w:rPr>
          <w:rFonts w:ascii="Times New Roman;serif" w:hAnsi="Times New Roman;serif"/>
          <w:b w:val="false"/>
          <w:color w:val="000000"/>
          <w:sz w:val="22"/>
        </w:rPr>
        <w:t>, no amendment, waiver or consent shall:</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86" w:name="if78045b1ed91487696777caf996281df"/>
      <w:bookmarkEnd w:id="586"/>
      <w:r>
        <w:rPr>
          <w:rFonts w:ascii="Times New Roman;serif" w:hAnsi="Times New Roman;serif"/>
          <w:b w:val="false"/>
          <w:color w:val="000000"/>
          <w:sz w:val="22"/>
        </w:rPr>
        <w:t>(i)increase the Commitment of any Lender without the written consent of such Lender;</w:t>
      </w:r>
    </w:p>
    <w:p>
      <w:pPr>
        <w:pStyle w:val="TextBody"/>
        <w:bidi w:val="0"/>
        <w:spacing w:lineRule="auto" w:line="240" w:before="0" w:after="240"/>
        <w:ind w:left="0" w:right="0" w:firstLine="1440"/>
        <w:jc w:val="both"/>
        <w:rPr/>
      </w:pPr>
      <w:bookmarkStart w:id="587" w:name="i2fdf3f4c33464c35a74997f47cf0c066"/>
      <w:bookmarkEnd w:id="587"/>
      <w:r>
        <w:rPr>
          <w:rFonts w:ascii="Times New Roman;serif" w:hAnsi="Times New Roman;serif"/>
          <w:b w:val="false"/>
          <w:color w:val="000000"/>
          <w:sz w:val="22"/>
        </w:rPr>
        <w:t xml:space="preserve">(ii)reduce the principal amount of any Loan or LC Disbursement or reduce the rate of interest thereon (it being agreed that the waiver of the Default Interest rate (or the imposition thereof) shall only require the consent of the Required Lenders), or reduce any fees or premiums payable hereunder, or permit the Borrower to assign its obligations under the Loan Documents, without the written consent of each Lender directly affected thereby;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any change to the calculation of any leverage ratio or the component definitions used therein shall not require the consent of each Lender directly affected thereby and shall only be subject to Required Lender approval; </w:t>
      </w:r>
    </w:p>
    <w:p>
      <w:pPr>
        <w:pStyle w:val="TextBody"/>
        <w:bidi w:val="0"/>
        <w:spacing w:lineRule="auto" w:line="240" w:before="0" w:after="240"/>
        <w:ind w:left="0" w:right="0" w:firstLine="1440"/>
        <w:jc w:val="both"/>
        <w:rPr/>
      </w:pPr>
      <w:bookmarkStart w:id="588" w:name="ib1e3e3d5a6a2488e9a03f6684c5bfb5b"/>
      <w:bookmarkEnd w:id="588"/>
      <w:r>
        <w:rPr>
          <w:rFonts w:ascii="Times New Roman;serif" w:hAnsi="Times New Roman;serif"/>
          <w:b w:val="false"/>
          <w:color w:val="000000"/>
          <w:sz w:val="22"/>
        </w:rPr>
        <w:t xml:space="preserve">(iii)postpone the date fixed for any payment (other than any mandatory prepayment) of any principal of, or interest on, any Loan or LC Disbursement or any fees or other amounts hereunder or reduce the amount of, waive or excuse any such payment, or postpone the scheduled date for the termination or reduction of any Commitment, without the written consent of each Lender directly affected thereby;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any change to the calculation of any leverage ratio or the component definitions used therein or (B) any waiver of Default Interest shall not require consent of each Lender directly affected thereby and shall only be subject to Required Lender approval;</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036955"/>
                <wp:effectExtent l="0" t="0" r="0" b="0"/>
                <wp:wrapNone/>
                <wp:docPr id="261" name="Frame25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135</w:t>
                      </w:r>
                    </w:p>
                  </w:txbxContent>
                </v:textbox>
                <w10:wrap type="none"/>
              </v:rect>
            </w:pict>
          </mc:Fallback>
        </mc:AlternateContent>
      </w:r>
    </w:p>
    <w:p>
      <w:pPr>
        <w:pStyle w:val="TextBody"/>
        <w:bidi w:val="0"/>
        <w:spacing w:lineRule="auto" w:line="240" w:before="0" w:after="240"/>
        <w:ind w:left="0" w:right="0" w:firstLine="1440"/>
        <w:jc w:val="both"/>
        <w:rPr/>
      </w:pPr>
      <w:bookmarkStart w:id="589" w:name="ifeaeaa88d7ac489cbb574114a8fa9001"/>
      <w:bookmarkEnd w:id="589"/>
      <w:r>
        <w:rPr>
          <w:rFonts w:ascii="Times New Roman;serif" w:hAnsi="Times New Roman;serif"/>
          <w:b w:val="false"/>
          <w:color w:val="000000"/>
          <w:sz w:val="22"/>
        </w:rPr>
        <w:t xml:space="preserve">(iv)amend, modify or waive any provision of </w:t>
      </w:r>
      <w:r>
        <w:rPr>
          <w:rFonts w:ascii="Times New Roman;serif" w:hAnsi="Times New Roman;serif"/>
          <w:b w:val="false"/>
          <w:color w:val="000000"/>
          <w:sz w:val="22"/>
          <w:u w:val="single"/>
        </w:rPr>
        <w:t>Section 2.21(b)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or any other provision of this Agreement or other Loan Document that has the effect of altering or modifying the pro rata payment of Obligations (or pro rata sharing of Commitment reductions required thereby) (except for technical amendments with respect to additional extensions of credit pursuant to this Agreement that are permitted under this Agreement on the Closing Date which afford the protections to such additional extensions of credit of the type provided to the Term A Loan on the Closing Date or as contemplated by </w:t>
      </w:r>
      <w:r>
        <w:rPr>
          <w:rFonts w:ascii="Times New Roman;serif" w:hAnsi="Times New Roman;serif"/>
          <w:b w:val="false"/>
          <w:color w:val="000000"/>
          <w:sz w:val="22"/>
          <w:u w:val="single"/>
        </w:rPr>
        <w:t>subclause (viii)</w:t>
      </w:r>
      <w:r>
        <w:rPr>
          <w:color w:val="000000"/>
        </w:rPr>
        <w:t xml:space="preserve"> </w:t>
      </w:r>
      <w:r>
        <w:rPr>
          <w:rFonts w:ascii="Times New Roman;serif" w:hAnsi="Times New Roman;serif"/>
          <w:b w:val="false"/>
          <w:color w:val="000000"/>
          <w:sz w:val="22"/>
        </w:rPr>
        <w:t xml:space="preserve">below) or permit any action which would directly or indirectly have the effect of amending any of the provisions described in this </w:t>
      </w:r>
      <w:r>
        <w:rPr>
          <w:rFonts w:ascii="Times New Roman;serif" w:hAnsi="Times New Roman;serif"/>
          <w:b w:val="false"/>
          <w:color w:val="000000"/>
          <w:sz w:val="22"/>
          <w:u w:val="single"/>
        </w:rPr>
        <w:t>clause (iv)</w:t>
      </w:r>
      <w:r>
        <w:rPr>
          <w:rFonts w:ascii="Times New Roman;serif" w:hAnsi="Times New Roman;serif"/>
          <w:b w:val="false"/>
          <w:color w:val="000000"/>
          <w:sz w:val="22"/>
        </w:rPr>
        <w:t>, in each case, without the prior written consent of each Lender directly and adversely affected thereby;</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90" w:name="ic275f1176d164059bd8c8153e3c0dd0f"/>
      <w:bookmarkEnd w:id="590"/>
      <w:r>
        <w:rPr>
          <w:rFonts w:ascii="Times New Roman;serif" w:hAnsi="Times New Roman;serif"/>
          <w:b w:val="false"/>
          <w:color w:val="000000"/>
          <w:sz w:val="22"/>
        </w:rPr>
        <w:t>(v)change any of the provisions of this subsection (b) or the percentage set forth in the definition of “Required Lenders” or any other provision hereof specifying the number or percentage of Lenders which are required to waive, amend or modify any rights hereunder or make any determination or grant any consent hereunder, without the consent of each Lender;</w:t>
      </w:r>
    </w:p>
    <w:p>
      <w:pPr>
        <w:pStyle w:val="TextBody"/>
        <w:bidi w:val="0"/>
        <w:spacing w:lineRule="auto" w:line="240" w:before="0" w:after="240"/>
        <w:ind w:left="0" w:right="0" w:firstLine="1440"/>
        <w:jc w:val="both"/>
        <w:rPr/>
      </w:pPr>
      <w:bookmarkStart w:id="591" w:name="i67828df456e344cca88e03e90ce463fa"/>
      <w:bookmarkEnd w:id="591"/>
      <w:r>
        <w:rPr>
          <w:rFonts w:ascii="Times New Roman;serif" w:hAnsi="Times New Roman;serif"/>
          <w:b w:val="false"/>
          <w:color w:val="000000"/>
          <w:sz w:val="22"/>
        </w:rPr>
        <w:t>(vi)release all or substantially all of the guarantors, or limit the liability of all or substantially all of the guarantors, under any guaranty agreement guaranteeing any of the Obligations, without the written consent of each Lender;</w:t>
      </w:r>
      <w:r>
        <w:rPr>
          <w:color w:val="000000"/>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92" w:name="i09f1f8c5931f4ac6bd538b924e1781e0"/>
      <w:bookmarkEnd w:id="592"/>
      <w:r>
        <w:rPr>
          <w:rFonts w:ascii="Times New Roman;serif" w:hAnsi="Times New Roman;serif"/>
          <w:b w:val="false"/>
          <w:color w:val="000000"/>
          <w:sz w:val="22"/>
        </w:rPr>
        <w:t>(vii)release all or substantially all Collateral securing any of the Obligations, without the written consent of each Lender; or</w:t>
      </w:r>
    </w:p>
    <w:p>
      <w:pPr>
        <w:pStyle w:val="TextBody"/>
        <w:bidi w:val="0"/>
        <w:spacing w:lineRule="auto" w:line="240" w:before="0" w:after="240"/>
        <w:ind w:left="0" w:right="0" w:firstLine="1440"/>
        <w:jc w:val="both"/>
        <w:rPr/>
      </w:pPr>
      <w:bookmarkStart w:id="593" w:name="i8d5b5ced48b84e2e8b694b5b68f636ac"/>
      <w:bookmarkEnd w:id="593"/>
      <w:r>
        <w:rPr>
          <w:rFonts w:ascii="Times New Roman;serif" w:hAnsi="Times New Roman;serif"/>
          <w:b w:val="false"/>
          <w:color w:val="000000"/>
          <w:sz w:val="22"/>
        </w:rPr>
        <w:t xml:space="preserve">(viii)contractually subordinate, or have the effect of contractually subordinating, the payment priority of the Obligations or contractually subordinate, or have the effect of contractually subordinating, the Liens granted to the Administrative Agent (for the benefit of the Secured Parties) in the Collateral to any other Indebtedness for borrowed money, without the written consent of each Lender directly and adversely affected thereby except (x) in connection with any “debtor in possession” financing;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financing is offered to all Lenders on a pro rata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such Lender does not accept an offer to provide its pro rata share of such financing within ten (10) Business Days of such offer being made, such Lender shall be deemed to have declined such offer, and (y) any Indebtedness that is expressly permitted under this Agreement as in effect on the Closing Date to be senior to, or secured by Liens on the Collateral on a senior basis to, the Lien securing, the Obligations;</w:t>
      </w:r>
    </w:p>
    <w:p>
      <w:pPr>
        <w:pStyle w:val="TextBody"/>
        <w:bidi w:val="0"/>
        <w:spacing w:lineRule="auto" w:line="288" w:before="0" w:after="2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(x) no such amendment, waiver or consent shall amend, modify or otherwise affect the rights, duties or obligations of the Administrative Agent, the Swingline Lender or any Issuing Bank without the prior written consent of such Person and (y) no amendment, waiver or consent shall, unless signed by the Borrower and the Required Revolving Lenders, or the Borrower and the Administrative Agent with the consent of the Required Revolving Lenders (but without the consent of the Required Lenders):</w:t>
      </w:r>
    </w:p>
    <w:p>
      <w:pPr>
        <w:pStyle w:val="TextBody"/>
        <w:bidi w:val="0"/>
        <w:spacing w:lineRule="auto" w:line="288" w:before="0" w:after="220"/>
        <w:ind w:left="0" w:right="0" w:firstLine="720"/>
        <w:jc w:val="both"/>
        <w:rPr/>
      </w:pPr>
      <w:bookmarkStart w:id="594" w:name="if235fdad48ee4a35b9474602b8efe1c4"/>
      <w:bookmarkEnd w:id="594"/>
      <w:r>
        <w:rPr>
          <w:rFonts w:ascii="Times New Roman;serif" w:hAnsi="Times New Roman;serif"/>
          <w:b w:val="false"/>
          <w:color w:val="000000"/>
          <w:sz w:val="24"/>
        </w:rPr>
        <w:t>(c)</w:t>
      </w:r>
      <w:r>
        <w:rPr>
          <w:color w:val="000000"/>
        </w:rPr>
        <w:t>    </w:t>
      </w:r>
      <w:r>
        <w:rPr>
          <w:rFonts w:ascii="Times New Roman;serif" w:hAnsi="Times New Roman;serif"/>
          <w:b w:val="false"/>
          <w:color w:val="000000"/>
          <w:sz w:val="22"/>
        </w:rPr>
        <w:t>(1)    amend or waive compliance with the conditions precedent to the obligations of the Revolving Lenders to make any Revolving Loan or LC Disbursement;</w:t>
      </w:r>
    </w:p>
    <w:p>
      <w:pPr>
        <w:pStyle w:val="TextBody"/>
        <w:bidi w:val="0"/>
        <w:spacing w:lineRule="auto" w:line="288" w:before="0" w:after="220"/>
        <w:ind w:left="0" w:right="0" w:firstLine="1440"/>
        <w:jc w:val="both"/>
        <w:rPr/>
      </w:pPr>
      <w:bookmarkStart w:id="595" w:name="i526d81faf845472ca49e93027007d9af"/>
      <w:bookmarkEnd w:id="595"/>
      <w:r>
        <w:rPr>
          <w:rFonts w:ascii="Times New Roman;serif" w:hAnsi="Times New Roman;serif"/>
          <w:b w:val="false"/>
          <w:color w:val="000000"/>
          <w:sz w:val="24"/>
        </w:rPr>
        <w:t>(d)</w:t>
      </w:r>
      <w:r>
        <w:rPr>
          <w:color w:val="000000"/>
        </w:rPr>
        <w:t xml:space="preserve">     </w:t>
      </w:r>
      <w:r>
        <w:rPr>
          <w:rFonts w:ascii="Times New Roman;serif" w:hAnsi="Times New Roman;serif"/>
          <w:b w:val="false"/>
          <w:color w:val="000000"/>
          <w:sz w:val="22"/>
        </w:rPr>
        <w:t xml:space="preserve">(2)    amend or waive non-compliance with any provision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 or</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(3)    change any of the provisions of this clause (y);</w:t>
      </w:r>
    </w:p>
    <w:p>
      <w:pPr>
        <w:pStyle w:val="TextBody"/>
        <w:bidi w:val="0"/>
        <w:spacing w:before="0" w:after="0"/>
        <w:ind w:left="0" w:right="0" w:firstLine="1440"/>
        <w:jc w:val="both"/>
        <w:rPr/>
      </w:pPr>
      <w:r>
        <w:rPr/>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such amendment, waiver or consent shall change the number or percentage contained in the definition of “Required Delayed Draw Term Loans Lenders” or “Required Revolving Lenders” or any other provision hereof specifying the number or percentage of Revolving Lenders or Delayed Draw Term Lenders, as applicable, which are required to waive, amend or modify any rights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036955"/>
                <wp:effectExtent l="0" t="0" r="0" b="0"/>
                <wp:wrapNone/>
                <wp:docPr id="262" name="Frame26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hereunder or make any determination or grant any consent hereunder, without the consent of each Revolving Lender or each Delayed Draw Term Lender, as applicable.</w:t>
      </w:r>
    </w:p>
    <w:p>
      <w:pPr>
        <w:pStyle w:val="TextBody"/>
        <w:bidi w:val="0"/>
        <w:spacing w:lineRule="auto" w:line="240" w:before="0" w:after="240"/>
        <w:ind w:left="0" w:right="0" w:firstLine="1440"/>
        <w:jc w:val="both"/>
        <w:rPr/>
      </w:pPr>
      <w:bookmarkStart w:id="596" w:name="i745f4a57d99d4731adfc152804a0bb95"/>
      <w:bookmarkEnd w:id="596"/>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herein, any amendment, waiver or consent with respect to the conditions precedent set forth in </w:t>
      </w:r>
      <w:r>
        <w:rPr>
          <w:rFonts w:ascii="Times New Roman;serif" w:hAnsi="Times New Roman;serif"/>
          <w:b w:val="false"/>
          <w:color w:val="000000"/>
          <w:sz w:val="22"/>
          <w:u w:val="single"/>
        </w:rPr>
        <w:t>Section 3.3</w:t>
      </w:r>
      <w:r>
        <w:rPr>
          <w:color w:val="000000"/>
        </w:rPr>
        <w:t xml:space="preserve"> </w:t>
      </w:r>
      <w:r>
        <w:rPr>
          <w:rFonts w:ascii="Times New Roman;serif" w:hAnsi="Times New Roman;serif"/>
          <w:b w:val="false"/>
          <w:color w:val="000000"/>
          <w:sz w:val="22"/>
        </w:rPr>
        <w:t>with respect to the Borrowing of Delayed Draw Term Loans shall be subject only to the consent of the Required Delayed Draw Term Loan Lenders (but not, for the avoidance of doubt, any consent from the Required Lenders).</w:t>
      </w:r>
    </w:p>
    <w:p>
      <w:pPr>
        <w:pStyle w:val="TextBody"/>
        <w:bidi w:val="0"/>
        <w:spacing w:lineRule="auto" w:line="240" w:before="0" w:after="240"/>
        <w:ind w:left="0" w:right="0" w:firstLine="1440"/>
        <w:jc w:val="both"/>
        <w:rPr/>
      </w:pPr>
      <w:bookmarkStart w:id="597" w:name="i9357e1cfe5d646b7abde17e969debc4c"/>
      <w:bookmarkEnd w:id="597"/>
      <w:r>
        <w:rPr>
          <w:rFonts w:ascii="Times New Roman;serif" w:hAnsi="Times New Roman;serif"/>
          <w:b w:val="false"/>
          <w:color w:val="000000"/>
          <w:sz w:val="22"/>
        </w:rPr>
        <w:t>(f)</w:t>
      </w:r>
      <w:r>
        <w:rPr>
          <w:rFonts w:ascii="Times New Roman;serif" w:hAnsi="Times New Roman;serif"/>
          <w:b w:val="false"/>
          <w:color w:val="000000"/>
          <w:sz w:val="22"/>
        </w:rPr>
        <w:t xml:space="preserve">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10.3</w:t>
      </w:r>
      <w:r>
        <w:rPr>
          <w:rFonts w:ascii="Times New Roman;serif" w:hAnsi="Times New Roman;serif"/>
          <w:b w:val="false"/>
          <w:color w:val="000000"/>
          <w:sz w:val="22"/>
        </w:rPr>
        <w:t xml:space="preserve">), such Lender shall have no other commitment or other obligation hereunder and such Lender shall have been paid in full all principal, interest and other amounts owing to it or accrued for its account under this Agreement. </w:t>
      </w:r>
    </w:p>
    <w:p>
      <w:pPr>
        <w:pStyle w:val="TextBody"/>
        <w:bidi w:val="0"/>
        <w:spacing w:lineRule="auto" w:line="240" w:before="0" w:after="240"/>
        <w:ind w:left="0" w:right="0" w:firstLine="1440"/>
        <w:jc w:val="both"/>
        <w:rPr/>
      </w:pPr>
      <w:bookmarkStart w:id="598" w:name="ib6902109a76746a8b1b667939d185a33"/>
      <w:bookmarkEnd w:id="598"/>
      <w:r>
        <w:rPr>
          <w:rFonts w:ascii="Times New Roman;serif" w:hAnsi="Times New Roman;serif"/>
          <w:b w:val="false"/>
          <w:color w:val="000000"/>
          <w:sz w:val="22"/>
        </w:rPr>
        <w:t>(g)</w:t>
      </w:r>
      <w:r>
        <w:rPr>
          <w:rFonts w:ascii="Times New Roman;serif" w:hAnsi="Times New Roman;serif"/>
          <w:b w:val="false"/>
          <w:color w:val="000000"/>
          <w:sz w:val="22"/>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w:t>
      </w:r>
    </w:p>
    <w:p>
      <w:pPr>
        <w:pStyle w:val="TextBody"/>
        <w:bidi w:val="0"/>
        <w:spacing w:lineRule="auto" w:line="240" w:before="0" w:after="240"/>
        <w:ind w:left="0" w:right="0" w:firstLine="1440"/>
        <w:jc w:val="both"/>
        <w:rPr/>
      </w:pPr>
      <w:bookmarkStart w:id="599" w:name="i8ef75234469c473a98a72a480e3b08f0"/>
      <w:bookmarkEnd w:id="599"/>
      <w:r>
        <w:rPr>
          <w:rFonts w:ascii="Times New Roman;serif" w:hAnsi="Times New Roman;serif"/>
          <w:b w:val="false"/>
          <w:color w:val="000000"/>
          <w:sz w:val="22"/>
        </w:rPr>
        <w:t>(h)</w:t>
      </w:r>
      <w:r>
        <w:rPr>
          <w:rFonts w:ascii="Times New Roman;serif" w:hAnsi="Times New Roman;serif"/>
          <w:b w:val="false"/>
          <w:color w:val="000000"/>
          <w:sz w:val="22"/>
        </w:rPr>
        <w:t>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Administrative Agent or any Lender prior to or subsequent to the occurrence of such Event of Default (other than the granting of a waiver in writing in accordance with the terms of this Section).</w:t>
      </w:r>
    </w:p>
    <w:p>
      <w:pPr>
        <w:pStyle w:val="TextBody"/>
        <w:bidi w:val="0"/>
        <w:spacing w:lineRule="auto" w:line="240" w:before="0" w:after="240"/>
        <w:ind w:left="0" w:right="0" w:firstLine="1440"/>
        <w:jc w:val="both"/>
        <w:rPr/>
      </w:pPr>
      <w:bookmarkStart w:id="600" w:name="i7bb7e29a8fd7459bb8cc2114dbd143de"/>
      <w:bookmarkEnd w:id="600"/>
      <w:r>
        <w:rPr>
          <w:rFonts w:ascii="Times New Roman;serif" w:hAnsi="Times New Roman;serif"/>
          <w:b w:val="false"/>
          <w:color w:val="000000"/>
          <w:sz w:val="22"/>
        </w:rPr>
        <w:t>(i)</w:t>
      </w:r>
      <w:r>
        <w:rPr>
          <w:rFonts w:ascii="Times New Roman;serif" w:hAnsi="Times New Roman;serif"/>
          <w:b w:val="false"/>
          <w:color w:val="000000"/>
          <w:sz w:val="22"/>
        </w:rPr>
        <w:t xml:space="preserve">Notwithstanding anything to the contrary herein, any Loan Document may be waived, amended, supplemented or modified pursuant to an agreement or agreements in writing entered into by the Borrower and the Administrative Agent (without the consent of any Lender) solely to effect administrative changes that are not adverse to any Lender or to correct administrative errors or omissions or to cure an ambiguity, defect or error (including to revise the legal description of any Collateral), or to grant a new Lien or give a new guaranty for the benefit of the Secured Parties or extend an existing Lien over additional property. Subject to the other provisions of this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the Administrative Agent shall enter into intercreditor agreements (and/or any supplements thereto) upon the request of the Borrower as contemplated by </w:t>
      </w:r>
      <w:r>
        <w:rPr>
          <w:rFonts w:ascii="Times New Roman;serif" w:hAnsi="Times New Roman;serif"/>
          <w:b w:val="false"/>
          <w:color w:val="000000"/>
          <w:sz w:val="22"/>
          <w:u w:val="single"/>
        </w:rPr>
        <w:t>Section 10.17</w:t>
      </w:r>
      <w:r>
        <w:rPr>
          <w:color w:val="000000"/>
        </w:rPr>
        <w:t xml:space="preserve"> </w:t>
      </w:r>
      <w:r>
        <w:rPr>
          <w:rFonts w:ascii="Times New Roman;serif" w:hAnsi="Times New Roman;serif"/>
          <w:b w:val="false"/>
          <w:color w:val="000000"/>
          <w:sz w:val="22"/>
        </w:rPr>
        <w:t>solely to the extent such intercreditor agreement is reasonably acceptable to the Administrative Agent.</w:t>
      </w:r>
    </w:p>
    <w:p>
      <w:pPr>
        <w:pStyle w:val="TextBody"/>
        <w:bidi w:val="0"/>
        <w:spacing w:lineRule="auto" w:line="240" w:before="0" w:after="240"/>
        <w:ind w:left="0" w:right="0" w:firstLine="720"/>
        <w:jc w:val="both"/>
        <w:rPr/>
      </w:pPr>
      <w:bookmarkStart w:id="601" w:name="ie8fdea5434ec45fdb4a61c627e5bef86"/>
      <w:bookmarkEnd w:id="601"/>
      <w:r>
        <w:rPr>
          <w:rFonts w:ascii="Times New Roman;serif" w:hAnsi="Times New Roman;serif"/>
          <w:b/>
          <w:color w:val="000000"/>
          <w:sz w:val="22"/>
        </w:rPr>
        <w:t>Section 10.3</w:t>
      </w:r>
      <w:r>
        <w:rPr>
          <w:rFonts w:ascii="Times New Roman;serif" w:hAnsi="Times New Roman;serif"/>
          <w:b/>
          <w:color w:val="000000"/>
          <w:sz w:val="22"/>
          <w:u w:val="single"/>
        </w:rPr>
        <w:t>Expenses; Indemnification.</w:t>
      </w:r>
    </w:p>
    <w:p>
      <w:pPr>
        <w:pStyle w:val="TextBody"/>
        <w:bidi w:val="0"/>
        <w:spacing w:lineRule="auto" w:line="240" w:before="0" w:after="240"/>
        <w:ind w:left="0" w:right="0" w:firstLine="1440"/>
        <w:jc w:val="both"/>
        <w:rPr/>
      </w:pPr>
      <w:bookmarkStart w:id="602" w:name="i32777fc555dc4e3bbd984aff8b164e44"/>
      <w:bookmarkEnd w:id="602"/>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pay (i) all reasonable, documented out-of-pocket costs and expenses of the Administrative Agent and its Affiliates, including the reasonable, documented fees, charges and disbursements of one outside counsel for the Administrative Agent and its Affiliates,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036955"/>
                <wp:effectExtent l="0" t="0" r="0" b="0"/>
                <wp:wrapNone/>
                <wp:docPr id="263" name="Frame26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the reasonable, documented fees, charges and disbursements of one outside counsel for the Administrative Agent and its Affiliates, (ii) all reasonable, documented out-of-pocket expenses incurred by any Issuing Bank in connection with the issuance, amendment, renewal or extension of any Letter of Credit or any demand for payment thereunder and (iii) all reasonable, documented out-of-pocket costs and expenses (which shall be limited, in the case of outside counsel, to the reasonable fees, charges and disbursements of one outside counsel to the Secured Parties, taken as a whole, any applicable local counsel required for the Secured Parties in any applicable jurisdiction and any special regulatory counsel (and, solely in the case of an actual or perceived conflict of interest, one additional of each such counsel for each group of similarly situated Secured Parties)) incurred by the Administrative Agent, any Issuing Bank or any Lender in connection with the enforcement or protection of its rights (A) in connection with this Agreement and the other Loan Documents including its rights under this Section, or (B) in connection with the Loans made or any Letters of Credit issued hereunder, including all such out-of-pocket expenses incurred during any workout, restructuring or negotiations in respect of such Loans or Letters of Credit.</w:t>
      </w:r>
    </w:p>
    <w:p>
      <w:pPr>
        <w:pStyle w:val="TextBody"/>
        <w:bidi w:val="0"/>
        <w:spacing w:lineRule="auto" w:line="240" w:before="0" w:after="240"/>
        <w:ind w:left="0" w:right="0" w:firstLine="1440"/>
        <w:jc w:val="both"/>
        <w:rPr/>
      </w:pPr>
      <w:bookmarkStart w:id="603" w:name="i95895f968e204e0c9332afc2ddb7c5e2"/>
      <w:bookmarkEnd w:id="603"/>
      <w:r>
        <w:rPr>
          <w:rFonts w:ascii="Times New Roman;serif" w:hAnsi="Times New Roman;serif"/>
          <w:b w:val="false"/>
          <w:color w:val="000000"/>
          <w:sz w:val="22"/>
        </w:rPr>
        <w:t>(b)</w:t>
      </w:r>
      <w:r>
        <w:rPr>
          <w:rFonts w:ascii="Times New Roman;serif" w:hAnsi="Times New Roman;serif"/>
          <w:b w:val="false"/>
          <w:color w:val="000000"/>
          <w:sz w:val="22"/>
        </w:rPr>
        <w:t>The Borrower shall indemnify the Administrative Agent (and any sub-agent thereof), each Arranger, each Lender and each Issuing Bank,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(limited to the reasonable and documented fees, charges and disbursements of one primary counsel for the Indemnitees, taken as a whole, any local counsel for the Indemnitees in any applicable jurisdiction and any special regulatory counsel (and, solely in the case of an actual or perceived conflict of interest, one additional of each such counsel for each group of similarly situated Indemnitees)), incurred by any Indemnitee or asserted against any Indemnitee by any third party or by the Borrower or any other Loan Party arising out of, in connection with, or as a result of (i) the execution, delivery of this Agreement, any other Loan Document, or any agreement or instrument contemplated hereby or by any of the foregoing, the performance by the parties hereto, any Loan Party or any other Person of their respective obligations hereunder or under any of the foregoing or the consummation of the transactions contemplated hereby or thereby, (ii) any Loan or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(y) a material breach of such Indemnitee’s obligations hereunder or under any other Loan Document or (z) disputes solely among Indemnitees, other than any claims arising out of or resulting from any act or omission on the part of the Borrower or its Affiliates and other than any claims against the Arrangers or the Administrative Agent in their respective capacities as such or in their respective fulfilling of such roles. This </w:t>
      </w:r>
      <w:r>
        <w:rPr>
          <w:rFonts w:ascii="Times New Roman;serif" w:hAnsi="Times New Roman;serif"/>
          <w:b w:val="false"/>
          <w:color w:val="000000"/>
          <w:sz w:val="22"/>
          <w:u w:val="single"/>
        </w:rPr>
        <w:t>Section 10.3</w:t>
      </w:r>
      <w:r>
        <w:rPr>
          <w:color w:val="000000"/>
        </w:rPr>
        <w:t xml:space="preserve"> </w:t>
      </w:r>
      <w:r>
        <w:rPr>
          <w:rFonts w:ascii="Times New Roman;serif" w:hAnsi="Times New Roman;serif"/>
          <w:b w:val="false"/>
          <w:color w:val="000000"/>
          <w:sz w:val="22"/>
        </w:rPr>
        <w:t>shall not apply with respect to Taxes other than any Taxes that represent losses, claims, damages, etc. arising from any non-Tax claim.</w:t>
      </w:r>
    </w:p>
    <w:p>
      <w:pPr>
        <w:pStyle w:val="TextBody"/>
        <w:bidi w:val="0"/>
        <w:spacing w:lineRule="auto" w:line="240" w:before="0" w:after="240"/>
        <w:ind w:left="0" w:right="0" w:firstLine="1440"/>
        <w:jc w:val="both"/>
        <w:rPr/>
      </w:pPr>
      <w:bookmarkStart w:id="604" w:name="i7b847493fd5f4d21aabd0aafb5d61706"/>
      <w:bookmarkEnd w:id="604"/>
      <w:r>
        <w:rPr>
          <w:rFonts w:ascii="Times New Roman;serif" w:hAnsi="Times New Roman;serif"/>
          <w:b w:val="false"/>
          <w:color w:val="000000"/>
          <w:sz w:val="22"/>
        </w:rPr>
        <w:t>(c)</w:t>
      </w:r>
      <w:r>
        <w:rPr>
          <w:rFonts w:ascii="Times New Roman;serif" w:hAnsi="Times New Roman;serif"/>
          <w:b w:val="false"/>
          <w:color w:val="000000"/>
          <w:sz w:val="22"/>
        </w:rPr>
        <w:t xml:space="preserve">To the extent that the Borrower fails to pay any amount required to be paid to the Administrative Agent, any Issuing Bank or the Swingline Lender under subsection (a) or (b) hereof, each Lender severally agrees to pay to the Administrative Agent, the applicable Issuing Bank or the Swingline Lender, as the case may be, such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 (in accordance with its respective Revolving Commitment (or Revolving Credit Exposure, as applicable) and Term Loan determined as of the time that the unreimbursed expense or indemnity payment is sought) of such unpaid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unreimbursed expense or indemnified payment, claim, damage, liability or related expense, as the case may be, was incurred by or asserted against the Administrative Agent, the applicable Issuing Bank or the Swingline Lender in its capacity as such.</w:t>
      </w:r>
    </w:p>
    <w:p>
      <w:pPr>
        <w:pStyle w:val="TextBody"/>
        <w:bidi w:val="0"/>
        <w:spacing w:lineRule="auto" w:line="240" w:before="0" w:after="240"/>
        <w:ind w:left="0" w:right="0" w:firstLine="1440"/>
        <w:jc w:val="both"/>
        <w:rPr/>
      </w:pPr>
      <w:bookmarkStart w:id="605" w:name="ia1964b88048541038daa9e1c1759fedd"/>
      <w:bookmarkEnd w:id="605"/>
      <w:r>
        <w:rPr>
          <w:rFonts w:ascii="Times New Roman;serif" w:hAnsi="Times New Roman;serif"/>
          <w:b w:val="false"/>
          <w:color w:val="000000"/>
          <w:sz w:val="22"/>
        </w:rPr>
        <w:t>(d)</w:t>
      </w:r>
      <w:r>
        <w:rPr>
          <w:rFonts w:ascii="Times New Roman;serif" w:hAnsi="Times New Roman;serif"/>
          <w:b w:val="false"/>
          <w:color w:val="000000"/>
          <w:sz w:val="22"/>
        </w:rPr>
        <w:t xml:space="preserve">To the extent permitted by applicable law, each party hereto hereby waives, and agrees not to assert, any claim against any other party hereto, on any theory of liability, for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036955"/>
                <wp:effectExtent l="0" t="0" r="0" b="0"/>
                <wp:wrapNone/>
                <wp:docPr id="264" name="Frame26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indirect, consequential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clause (e) shall relieve the Borrower of any obligation it may have to indemnify any Indemnitee against special, indirect, consequential or punitive damages asserted against such Indemnitee by a third party.</w:t>
      </w:r>
    </w:p>
    <w:p>
      <w:pPr>
        <w:pStyle w:val="TextBody"/>
        <w:bidi w:val="0"/>
        <w:spacing w:lineRule="auto" w:line="240" w:before="0" w:after="240"/>
        <w:ind w:left="0" w:right="0" w:firstLine="1440"/>
        <w:jc w:val="both"/>
        <w:rPr/>
      </w:pPr>
      <w:bookmarkStart w:id="606" w:name="i37085239748d47b0a12f966d868061f7"/>
      <w:bookmarkEnd w:id="606"/>
      <w:r>
        <w:rPr>
          <w:rFonts w:ascii="Times New Roman;serif" w:hAnsi="Times New Roman;serif"/>
          <w:b w:val="false"/>
          <w:color w:val="000000"/>
          <w:sz w:val="22"/>
        </w:rPr>
        <w:t>(e)</w:t>
      </w:r>
      <w:r>
        <w:rPr>
          <w:rFonts w:ascii="Times New Roman;serif" w:hAnsi="Times New Roman;serif"/>
          <w:b w:val="false"/>
          <w:color w:val="000000"/>
          <w:sz w:val="22"/>
        </w:rPr>
        <w:t xml:space="preserve">All amounts due under this Section shall be payable within thirty (30) days after the Borrower’s receipt of written demand therefor (together with reasonable backup documentation). Notwithstanding the foregoing, if it is found by a final, non-appealable judgment of a court of competent jurisdiction in any such action, proceeding or investigation that an Indemnitee was not entitled to be indemnified pursuant to this </w:t>
      </w:r>
      <w:r>
        <w:rPr>
          <w:rFonts w:ascii="Times New Roman;serif" w:hAnsi="Times New Roman;serif"/>
          <w:b w:val="false"/>
          <w:color w:val="000000"/>
          <w:sz w:val="22"/>
          <w:u w:val="single"/>
        </w:rPr>
        <w:t>Section 10.3</w:t>
      </w:r>
      <w:r>
        <w:rPr>
          <w:rFonts w:ascii="Times New Roman;serif" w:hAnsi="Times New Roman;serif"/>
          <w:b w:val="false"/>
          <w:color w:val="000000"/>
          <w:sz w:val="22"/>
        </w:rPr>
        <w:t>, such Indemnitee will promptly repay such portion of the reimbursed amounts previously paid to such Indemnitee under this Section.</w:t>
      </w:r>
    </w:p>
    <w:p>
      <w:pPr>
        <w:pStyle w:val="TextBody"/>
        <w:bidi w:val="0"/>
        <w:spacing w:lineRule="auto" w:line="240" w:before="0" w:after="240"/>
        <w:ind w:left="0" w:right="0" w:firstLine="720"/>
        <w:jc w:val="both"/>
        <w:rPr/>
      </w:pPr>
      <w:bookmarkStart w:id="607" w:name="ib38240dd639b46e4bca24ddc9f9b5dcd"/>
      <w:bookmarkEnd w:id="607"/>
      <w:r>
        <w:rPr>
          <w:rFonts w:ascii="Times New Roman;serif" w:hAnsi="Times New Roman;serif"/>
          <w:b/>
          <w:color w:val="000000"/>
          <w:sz w:val="22"/>
        </w:rPr>
        <w:t>Section 10.4</w:t>
      </w:r>
      <w:r>
        <w:rPr>
          <w:rFonts w:ascii="Times New Roman;serif" w:hAnsi="Times New Roman;serif"/>
          <w:b/>
          <w:color w:val="000000"/>
          <w:sz w:val="22"/>
          <w:u w:val="single"/>
        </w:rPr>
        <w:t xml:space="preserve">Successors and Assigns. </w:t>
      </w:r>
    </w:p>
    <w:p>
      <w:pPr>
        <w:pStyle w:val="TextBody"/>
        <w:bidi w:val="0"/>
        <w:spacing w:lineRule="auto" w:line="240" w:before="0" w:after="240"/>
        <w:ind w:left="0" w:right="0" w:firstLine="1440"/>
        <w:jc w:val="both"/>
        <w:rPr/>
      </w:pPr>
      <w:bookmarkStart w:id="608" w:name="i52682e38accf4b2f98b3dc75b061a533"/>
      <w:bookmarkEnd w:id="608"/>
      <w:r>
        <w:rPr>
          <w:rFonts w:ascii="Times New Roman;serif" w:hAnsi="Times New Roman;serif"/>
          <w:b w:val="false"/>
          <w:color w:val="000000"/>
          <w:sz w:val="22"/>
        </w:rPr>
        <w:t>(a)</w:t>
      </w:r>
      <w:r>
        <w:rPr>
          <w:rFonts w:ascii="Times New Roman;serif" w:hAnsi="Times New Roman;serif"/>
          <w:b w:val="false"/>
          <w:color w:val="000000"/>
          <w:sz w:val="22"/>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40" w:before="0" w:after="240"/>
        <w:ind w:left="0" w:right="0" w:firstLine="1440"/>
        <w:jc w:val="both"/>
        <w:rPr/>
      </w:pPr>
      <w:bookmarkStart w:id="609" w:name="i0a062922987b487c9c6a31515a858b56"/>
      <w:bookmarkEnd w:id="609"/>
      <w:r>
        <w:rPr>
          <w:rFonts w:ascii="Times New Roman;serif" w:hAnsi="Times New Roman;serif"/>
          <w:b w:val="false"/>
          <w:color w:val="000000"/>
          <w:sz w:val="22"/>
        </w:rPr>
        <w:t>(b)</w:t>
      </w:r>
      <w:r>
        <w:rPr>
          <w:rFonts w:ascii="Times New Roman;serif" w:hAnsi="Times New Roman;serif"/>
          <w:b w:val="false"/>
          <w:color w:val="000000"/>
          <w:sz w:val="22"/>
        </w:rPr>
        <w:t xml:space="preserve">Any Lender may at any time assign to one or more assignees all or a portion of its rights and obligations under this Agreement (including all or a portion of its Commitments, Loans and other Revolving Credit Exposure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lineRule="auto" w:line="240" w:before="0" w:after="240"/>
        <w:ind w:left="0" w:right="0" w:firstLine="1440"/>
        <w:jc w:val="both"/>
        <w:rPr/>
      </w:pPr>
      <w:bookmarkStart w:id="610" w:name="ie4bb35a6509c4ea49272e9667b35e06c"/>
      <w:bookmarkEnd w:id="610"/>
      <w:r>
        <w:rPr>
          <w:rFonts w:ascii="Times New Roman;serif" w:hAnsi="Times New Roman;serif"/>
          <w:b w:val="false"/>
          <w:color w:val="000000"/>
          <w:sz w:val="22"/>
        </w:rPr>
        <w:t>(i)</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11" w:name="ie812e77299f942f69d6a2eed68a3f14d"/>
      <w:bookmarkEnd w:id="611"/>
      <w:r>
        <w:rPr>
          <w:rFonts w:ascii="Times New Roman;serif" w:hAnsi="Times New Roman;serif"/>
          <w:b w:val="false"/>
          <w:color w:val="000000"/>
          <w:sz w:val="22"/>
        </w:rPr>
        <w:t>(A)in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12" w:name="i0123aaa9e1ab4b97872b1f01ed2bef51"/>
      <w:bookmarkEnd w:id="612"/>
      <w:r>
        <w:rPr>
          <w:rFonts w:ascii="Times New Roman;serif" w:hAnsi="Times New Roman;serif"/>
          <w:b w:val="false"/>
          <w:color w:val="000000"/>
          <w:sz w:val="22"/>
        </w:rPr>
        <w:t>(B)in any case not described in subsection (b)(i)(A) of this Section, the aggregate amount of the Commitment (which for this purpose includes Loans and Revolving Credit Exposure outstanding thereunder) or, if the applicable Commitment is not then in effect, the principal outstanding balance of the Loans and Revolving Credit Exposure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$1,000,000 with respect to Term Loans and Delayed Draw Term Loan Commitments and $1,000,000 with respect to Revolving Loans and Revolving Commitments and in minimum increments of $1,000,000, unless each of the Administrative Agent and, so long as no Specified Event of Default has occurred and is continuing, the Borrower otherwise consents (each such consent not to be unreasonably withheld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036955"/>
                <wp:effectExtent l="0" t="0" r="0" b="0"/>
                <wp:wrapNone/>
                <wp:docPr id="265" name="Frame26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139</w:t>
                      </w:r>
                    </w:p>
                  </w:txbxContent>
                </v:textbox>
                <w10:wrap type="none"/>
              </v:rect>
            </w:pict>
          </mc:Fallback>
        </mc:AlternateContent>
      </w:r>
    </w:p>
    <w:p>
      <w:pPr>
        <w:pStyle w:val="TextBody"/>
        <w:bidi w:val="0"/>
        <w:spacing w:lineRule="auto" w:line="240" w:before="0" w:after="240"/>
        <w:ind w:left="0" w:right="0" w:firstLine="1440"/>
        <w:jc w:val="both"/>
        <w:rPr/>
      </w:pPr>
      <w:bookmarkStart w:id="613" w:name="i8815bc29f4b24599a3fa53affa81df7a"/>
      <w:bookmarkEnd w:id="613"/>
      <w:r>
        <w:rPr>
          <w:rFonts w:ascii="Times New Roman;serif" w:hAnsi="Times New Roman;serif"/>
          <w:b w:val="false"/>
          <w:color w:val="000000"/>
          <w:sz w:val="22"/>
        </w:rPr>
        <w:t>(ii)</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Each partial assignment shall be made as an assignment of a proportionate part of all the assigning Lender’s rights and obligations under this Agreement with respect to the Loans, other Revolving Credit Exposure or the Commitments assigned, except that this subsection (b)(ii) shall not prohibit any Lender from assigning all or a portion of its rights and obligations among separate Classes of Loans or Commitments on a non-</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w:t>
      </w:r>
    </w:p>
    <w:p>
      <w:pPr>
        <w:pStyle w:val="TextBody"/>
        <w:bidi w:val="0"/>
        <w:spacing w:lineRule="auto" w:line="240" w:before="0" w:after="240"/>
        <w:ind w:left="0" w:right="0" w:firstLine="1440"/>
        <w:jc w:val="both"/>
        <w:rPr/>
      </w:pPr>
      <w:bookmarkStart w:id="614" w:name="i343982f811604eab9674a29ee694046d"/>
      <w:bookmarkEnd w:id="614"/>
      <w:r>
        <w:rPr>
          <w:rFonts w:ascii="Times New Roman;serif" w:hAnsi="Times New Roman;serif"/>
          <w:b w:val="false"/>
          <w:color w:val="000000"/>
          <w:sz w:val="22"/>
        </w:rPr>
        <w:t>(iii)</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No consent shall be required for any assignment except to the extent required by subsection (b)(i)(B) of this Section and, in addition:</w:t>
      </w:r>
    </w:p>
    <w:p>
      <w:pPr>
        <w:pStyle w:val="TextBody"/>
        <w:bidi w:val="0"/>
        <w:spacing w:lineRule="auto" w:line="240" w:before="0" w:after="240"/>
        <w:ind w:left="0" w:right="0" w:firstLine="720"/>
        <w:jc w:val="both"/>
        <w:rPr/>
      </w:pPr>
      <w:bookmarkStart w:id="615" w:name="i5791792383f74623908db70470015ed9"/>
      <w:bookmarkEnd w:id="615"/>
      <w:r>
        <w:rPr>
          <w:rFonts w:ascii="Times New Roman;serif" w:hAnsi="Times New Roman;serif"/>
          <w:b w:val="false"/>
          <w:color w:val="000000"/>
          <w:sz w:val="22"/>
        </w:rPr>
        <w:t xml:space="preserve">(A)the consent of the Borrower (such consent not to be unreasonably withheld or delayed) shall be required unless (x) a Specified Event of Default has occurred and is continuing at the time of such assignment or (y)(1) in the case of an assignment of Term Loans or and Delayed Draw Term Loan Commitments, such assignment is to a Lender, an Affiliate of such Lender or an Approved Fund of such Lender or (2) in the case of an assignment of Revolving Commitments and/or Revolving Loans, such assignment is to a Revolving Lender or an Affiliate or Approved Fund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be deemed to have consented to any such assignment unless it shall object thereto by written notice to the Administrative Agent within 5 Business Days after having received notice thereof;</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16" w:name="i128e9994609142138846fabca13c36f0"/>
      <w:bookmarkEnd w:id="616"/>
      <w:r>
        <w:rPr>
          <w:rFonts w:ascii="Times New Roman;serif" w:hAnsi="Times New Roman;serif"/>
          <w:b w:val="false"/>
          <w:color w:val="000000"/>
          <w:sz w:val="22"/>
        </w:rPr>
        <w:t>(B)the consent of the Administrative Agent (such consent not to be unreasonably withheld or delayed) shall be required unless such assignment is to a Lender, an Affiliate of such Lender or an Approved Fund of such Lender; and</w:t>
      </w:r>
    </w:p>
    <w:p>
      <w:pPr>
        <w:pStyle w:val="TextBody"/>
        <w:bidi w:val="0"/>
        <w:spacing w:lineRule="auto" w:line="240" w:before="0" w:after="240"/>
        <w:ind w:left="0" w:right="0" w:firstLine="720"/>
        <w:jc w:val="both"/>
        <w:rPr>
          <w:rFonts w:ascii="Times New Roman;serif" w:hAnsi="Times New Roman;serif"/>
          <w:b w:val="false"/>
          <w:color w:val="000000"/>
          <w:sz w:val="22"/>
        </w:rPr>
      </w:pPr>
      <w:bookmarkStart w:id="617" w:name="i30558fc48a5a482b898da2f2f8140aee"/>
      <w:bookmarkEnd w:id="617"/>
      <w:r>
        <w:rPr>
          <w:rFonts w:ascii="Times New Roman;serif" w:hAnsi="Times New Roman;serif"/>
          <w:b w:val="false"/>
          <w:color w:val="000000"/>
          <w:sz w:val="22"/>
        </w:rPr>
        <w:t>(C)the consent of each Issuing Bank (such consent not to be unreasonably withheld or delayed) shall be 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 in each case, unless such assignment is to a Revolving Lender or an Affiliate or Approved Fund thereof.</w:t>
      </w:r>
    </w:p>
    <w:p>
      <w:pPr>
        <w:pStyle w:val="TextBody"/>
        <w:bidi w:val="0"/>
        <w:spacing w:lineRule="auto" w:line="240" w:before="0" w:after="240"/>
        <w:ind w:left="0" w:right="0" w:firstLine="1440"/>
        <w:jc w:val="both"/>
        <w:rPr/>
      </w:pPr>
      <w:bookmarkStart w:id="618" w:name="ifd8ae43abe46430abb9ffac8ed200039"/>
      <w:bookmarkEnd w:id="618"/>
      <w:r>
        <w:rPr>
          <w:rFonts w:ascii="Times New Roman;serif" w:hAnsi="Times New Roman;serif"/>
          <w:b w:val="false"/>
          <w:color w:val="000000"/>
          <w:sz w:val="22"/>
        </w:rPr>
        <w:t>(iv)</w:t>
      </w:r>
      <w:r>
        <w:rPr>
          <w:rFonts w:ascii="Times New Roman;serif" w:hAnsi="Times New Roman;serif"/>
          <w:b w:val="false"/>
          <w:color w:val="000000"/>
          <w:sz w:val="22"/>
          <w:u w:val="single"/>
        </w:rPr>
        <w:t>Assignment and Acceptance</w:t>
      </w:r>
      <w:r>
        <w:rPr>
          <w:rFonts w:ascii="Times New Roman;serif" w:hAnsi="Times New Roman;serif"/>
          <w:b w:val="false"/>
          <w:color w:val="000000"/>
          <w:sz w:val="22"/>
        </w:rPr>
        <w:t xml:space="preserve">. The parties to each assignment shall deliver to the Administrative Agent (A) a duly executed Assignment and Acceptance, (B) a processing and recordation fee of $3,500, (C) an Administrative Questionnaire unless the assignee is already a Lender and (D) the documents required under </w:t>
      </w:r>
      <w:r>
        <w:rPr>
          <w:rFonts w:ascii="Times New Roman;serif" w:hAnsi="Times New Roman;serif"/>
          <w:b w:val="false"/>
          <w:color w:val="000000"/>
          <w:sz w:val="22"/>
          <w:u w:val="single"/>
        </w:rPr>
        <w:t>Section 2.20(e).</w:t>
      </w:r>
    </w:p>
    <w:p>
      <w:pPr>
        <w:pStyle w:val="TextBody"/>
        <w:bidi w:val="0"/>
        <w:spacing w:lineRule="auto" w:line="240" w:before="0" w:after="240"/>
        <w:ind w:left="0" w:right="0" w:firstLine="1440"/>
        <w:jc w:val="both"/>
        <w:rPr/>
      </w:pPr>
      <w:bookmarkStart w:id="619" w:name="i9e0d74c4872641c6a4ce951eb4d7fd9d"/>
      <w:bookmarkEnd w:id="619"/>
      <w:r>
        <w:rPr>
          <w:rFonts w:ascii="Times New Roman;serif" w:hAnsi="Times New Roman;serif"/>
          <w:b w:val="false"/>
          <w:color w:val="000000"/>
          <w:sz w:val="22"/>
        </w:rPr>
        <w:t>(v)</w:t>
      </w:r>
      <w:r>
        <w:rPr>
          <w:rFonts w:ascii="Times New Roman;serif" w:hAnsi="Times New Roman;serif"/>
          <w:b w:val="false"/>
          <w:color w:val="000000"/>
          <w:sz w:val="22"/>
          <w:u w:val="single"/>
        </w:rPr>
        <w:t>No Assignment to the certain Persons</w:t>
      </w:r>
      <w:r>
        <w:rPr>
          <w:rFonts w:ascii="Times New Roman;serif" w:hAnsi="Times New Roman;serif"/>
          <w:b w:val="false"/>
          <w:color w:val="000000"/>
          <w:sz w:val="22"/>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r>
        <w:rPr>
          <w:rFonts w:ascii="Times New Roman;serif" w:hAnsi="Times New Roman;serif"/>
          <w:b/>
          <w:color w:val="000000"/>
          <w:sz w:val="22"/>
        </w:rPr>
        <w:t>.</w:t>
      </w:r>
    </w:p>
    <w:p>
      <w:pPr>
        <w:pStyle w:val="TextBody"/>
        <w:bidi w:val="0"/>
        <w:spacing w:lineRule="auto" w:line="240" w:before="0" w:after="240"/>
        <w:ind w:left="0" w:right="0" w:firstLine="1440"/>
        <w:jc w:val="both"/>
        <w:rPr/>
      </w:pPr>
      <w:bookmarkStart w:id="620" w:name="if23430880c2f4f08b4181f7324171131"/>
      <w:bookmarkEnd w:id="620"/>
      <w:r>
        <w:rPr>
          <w:rFonts w:ascii="Times New Roman;serif" w:hAnsi="Times New Roman;serif"/>
          <w:b w:val="false"/>
          <w:color w:val="000000"/>
          <w:sz w:val="22"/>
        </w:rPr>
        <w:t>(vi)</w:t>
      </w:r>
      <w:r>
        <w:rPr>
          <w:rFonts w:ascii="Times New Roman;serif" w:hAnsi="Times New Roman;serif"/>
          <w:b w:val="false"/>
          <w:color w:val="000000"/>
          <w:sz w:val="22"/>
          <w:u w:val="single"/>
        </w:rPr>
        <w:t>No Assignment to Natural Persons or Disqualified Institutions</w:t>
      </w:r>
      <w:r>
        <w:rPr>
          <w:rFonts w:ascii="Times New Roman;serif" w:hAnsi="Times New Roman;serif"/>
          <w:b w:val="false"/>
          <w:color w:val="000000"/>
          <w:sz w:val="22"/>
        </w:rPr>
        <w:t>. No such assignment shall be made to a natural person (or a holding company, investment vehicle or trust for, or owned and operated for the primary benefit of, a natural person) or a Disqualified Institution.</w:t>
      </w:r>
    </w:p>
    <w:p>
      <w:pPr>
        <w:pStyle w:val="TextBody"/>
        <w:bidi w:val="0"/>
        <w:spacing w:lineRule="auto" w:line="240" w:before="0" w:after="240"/>
        <w:ind w:left="0" w:right="0" w:firstLine="1440"/>
        <w:jc w:val="both"/>
        <w:rPr/>
      </w:pPr>
      <w:bookmarkStart w:id="621" w:name="i1d485b07d00543139ec276c7ad7aaf67"/>
      <w:bookmarkEnd w:id="621"/>
      <w:r>
        <w:rPr>
          <w:rFonts w:ascii="Times New Roman;serif" w:hAnsi="Times New Roman;serif"/>
          <w:b w:val="false"/>
          <w:color w:val="000000"/>
          <w:sz w:val="22"/>
        </w:rPr>
        <w:t>(vii)</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036955"/>
                <wp:effectExtent l="0" t="0" r="0" b="0"/>
                <wp:wrapNone/>
                <wp:docPr id="266" name="Frame264"/>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full all payment liabilities then owed by such Defaulting Lender to the Administrative Agent, each Issuing Bank, the Swingline Lender and each other Lender hereunder (and interest accrued thereon), and (y) acquire (and fund as appropriate) its full pro rata share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jc w:val="both"/>
        <w:rPr/>
      </w:pPr>
      <w:r>
        <w:rPr>
          <w:rFonts w:ascii="Times New Roman;serif" w:hAnsi="Times New Roman;serif"/>
          <w:b w:val="false"/>
          <w:color w:val="000000"/>
          <w:sz w:val="22"/>
        </w:rPr>
        <w:t xml:space="preserve">Subject to acceptance and recording thereof by the Administrative Agent pursuant to subsection (c)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ten (10) Business Days after notice thereof has actually been delivered by the assigning Lender (through the Administrative Agent) to the Borrower.</w:t>
      </w:r>
    </w:p>
    <w:p>
      <w:pPr>
        <w:pStyle w:val="TextBody"/>
        <w:bidi w:val="0"/>
        <w:spacing w:lineRule="auto" w:line="240" w:before="0" w:after="240"/>
        <w:ind w:left="0" w:right="0" w:firstLine="1440"/>
        <w:jc w:val="both"/>
        <w:rPr/>
      </w:pPr>
      <w:bookmarkStart w:id="622" w:name="if89a84c7167a4916bf7f6be59da2ebd3"/>
      <w:bookmarkEnd w:id="622"/>
      <w:r>
        <w:rPr>
          <w:rFonts w:ascii="Times New Roman;serif" w:hAnsi="Times New Roman;serif"/>
          <w:b w:val="false"/>
          <w:color w:val="000000"/>
          <w:sz w:val="22"/>
        </w:rPr>
        <w:t>(c)</w:t>
      </w:r>
      <w:r>
        <w:rPr>
          <w:rFonts w:ascii="Times New Roman;serif" w:hAnsi="Times New Roman;serif"/>
          <w:b w:val="false"/>
          <w:color w:val="000000"/>
          <w:sz w:val="22"/>
        </w:rPr>
        <w:t>The Administrative Agent, acting solely for this purpose as a non-fiduciary agent of the Borrower, shall maintain at one of its offices in Charlotte, North Carolina a copy of each Assignment and Acceptance delivered to it and a register for the recordation of the names and addresses of the Lenders, and the Commitments of, and principal amount (and stated interest) of the Loans and Revolving Credit Exposure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Truist Bank serves in such capacity, Truist Bank and its officers, directors, employees, agents, sub-agents and affiliates shall constitute “Indemnitees”. This Section 10.4(c) shall be construed so that the Obligations are at all times maintained in “registered form” within the meaning of Section 163(f), 871(h)(2) and 881(c)(2) of the Code any related regulations (and any other relevant or successor provisions of the Code or such regulations).</w:t>
      </w:r>
    </w:p>
    <w:p>
      <w:pPr>
        <w:pStyle w:val="TextBody"/>
        <w:bidi w:val="0"/>
        <w:spacing w:lineRule="auto" w:line="240" w:before="0" w:after="240"/>
        <w:ind w:left="0" w:right="0" w:firstLine="1440"/>
        <w:jc w:val="both"/>
        <w:rPr/>
      </w:pPr>
      <w:bookmarkStart w:id="623" w:name="if7cb22a8e9014a3f9c9697d8052f531a"/>
      <w:bookmarkEnd w:id="623"/>
      <w:r>
        <w:rPr>
          <w:rFonts w:ascii="Times New Roman;serif" w:hAnsi="Times New Roman;serif"/>
          <w:b w:val="false"/>
          <w:color w:val="000000"/>
          <w:sz w:val="22"/>
        </w:rPr>
        <w:t>(d)</w:t>
      </w:r>
      <w:r>
        <w:rPr>
          <w:rFonts w:ascii="Times New Roman;serif" w:hAnsi="Times New Roman;serif"/>
          <w:b w:val="false"/>
          <w:color w:val="000000"/>
          <w:sz w:val="22"/>
        </w:rPr>
        <w:t>Any Lender may at any time, without the consent of, or notice to, the Borrower, the Administrative Agent, the Swingline Lender or any Issuing Bank, sell participations to any Person (other than a natural person (or a holding company, investment vehicle or trust for, or owned and operated for the primary benefit of, a natural person), a Disqualified Institution, the Borrower, or any of the Borrower’s Affiliates or Subsidiaries)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036955"/>
                <wp:effectExtent l="0" t="0" r="0" b="0"/>
                <wp:wrapNone/>
                <wp:docPr id="267" name="Frame265"/>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and (iii) the Borrower, the Administrative Agent, the Issuing Banks, the Swingline Lender and the other Lenders shall continue to deal solely and directly with such Lender in connection with such Lender’s rights and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with respect to the following to the extent affecting such Participant: (i) increase the Commitment of such Lender; (ii) reduce the principal amount of any Loan or LC Disbursement or reduce the rate of interest thereon, or reduce any fees payable hereunder (excluding the right of any Participant to consent to changes in the calculation of any leverage ratio or the component definitions thereof); (iii) postpone the date fixed for any payment of any principal of, or interest on, any Loan or LC Disbursement or any fees hereunder or reduce the amount of, waive or excuse any such payment, or postpone the scheduled date for the termination or reduction of any Commitment (excluding the right of any Participant to consent to changes in the calculation of any leverage ratio or the component definitions thereof); (iv) change </w:t>
      </w:r>
      <w:r>
        <w:rPr>
          <w:rFonts w:ascii="Times New Roman;serif" w:hAnsi="Times New Roman;serif"/>
          <w:b w:val="false"/>
          <w:color w:val="000000"/>
          <w:sz w:val="22"/>
          <w:u w:val="single"/>
        </w:rPr>
        <w:t>Section 2.21(b)</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in a manner that would alter the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sharing of payments required thereby; (v) change any of the provisions of </w:t>
      </w:r>
      <w:r>
        <w:rPr>
          <w:rFonts w:ascii="Times New Roman;serif" w:hAnsi="Times New Roman;serif"/>
          <w:b w:val="false"/>
          <w:color w:val="000000"/>
          <w:sz w:val="22"/>
          <w:u w:val="single"/>
        </w:rPr>
        <w:t>Section 10.2(b)</w:t>
      </w:r>
      <w:r>
        <w:rPr>
          <w:color w:val="000000"/>
        </w:rPr>
        <w:t xml:space="preserve"> </w:t>
      </w:r>
      <w:r>
        <w:rPr>
          <w:rFonts w:ascii="Times New Roman;serif" w:hAnsi="Times New Roman;serif"/>
          <w:b w:val="false"/>
          <w:color w:val="000000"/>
          <w:sz w:val="22"/>
        </w:rPr>
        <w:t xml:space="preserve">or the definition of “Required Delayed Draw Term Loan Lenders”, “Required Lenders” or “Required Revolving Lenders” or any other provision hereof specifying the number or percentage of Lenders which are required to waive, amend or modify any rights hereunder or make any determination or grant any consent hereunder; (vi) release all or substantially all of the guarantors, or limit the liability of all or substantially all of the guarantors, under any guaranty agreement guaranteeing any of the Obligations; or (vii) release all or substantially all collateral (if any) securing any of the Obligations. Subject to subsection (e) of this Section, the Borrower agrees that each Participant shall be entitled to the benefits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to the same extent as if it were a Lender and had acquired its interest by assignment pursuant to subsection (b) of this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2.24</w:t>
      </w:r>
      <w:r>
        <w:rPr>
          <w:color w:val="000000"/>
        </w:rPr>
        <w:t xml:space="preserve"> </w:t>
      </w:r>
      <w:r>
        <w:rPr>
          <w:rFonts w:ascii="Times New Roman;serif" w:hAnsi="Times New Roman;serif"/>
          <w:b w:val="false"/>
          <w:color w:val="000000"/>
          <w:sz w:val="22"/>
        </w:rPr>
        <w:t xml:space="preserve">as though it were a Lender. To the extent permitted by law, each Participant also shall be entitled to the benefits of </w:t>
      </w:r>
      <w:r>
        <w:rPr>
          <w:rFonts w:ascii="Times New Roman;serif" w:hAnsi="Times New Roman;serif"/>
          <w:b w:val="false"/>
          <w:color w:val="000000"/>
          <w:sz w:val="22"/>
          <w:u w:val="single"/>
        </w:rPr>
        <w:t>Section 10.7</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Loans or other obligations under the Loan Documents are in “registered form” within the meaning of Section 5f.103-1(c) and proposed Section 1.63-5(b) of the United States Treasury Regulations for purposes of the Code.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440"/>
        <w:jc w:val="both"/>
        <w:rPr/>
      </w:pPr>
      <w:bookmarkStart w:id="624" w:name="i124f059534844eadb37ecdaaf5227d7a"/>
      <w:bookmarkEnd w:id="624"/>
      <w:r>
        <w:rPr>
          <w:rFonts w:ascii="Times New Roman;serif" w:hAnsi="Times New Roman;serif"/>
          <w:b w:val="false"/>
          <w:color w:val="000000"/>
          <w:sz w:val="22"/>
        </w:rPr>
        <w:t>(e)</w:t>
      </w:r>
      <w:r>
        <w:rPr>
          <w:rFonts w:ascii="Times New Roman;serif" w:hAnsi="Times New Roman;serif"/>
          <w:b w:val="false"/>
          <w:color w:val="000000"/>
          <w:sz w:val="22"/>
        </w:rPr>
        <w:t xml:space="preserve">A Participant shall not be entitled to receive any greater payment under </w:t>
      </w:r>
      <w:r>
        <w:rPr>
          <w:rFonts w:ascii="Times New Roman;serif" w:hAnsi="Times New Roman;serif"/>
          <w:b w:val="false"/>
          <w:color w:val="000000"/>
          <w:sz w:val="22"/>
          <w:u w:val="single"/>
        </w:rPr>
        <w:t>Sections 2.18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rPr>
        <w:t xml:space="preserve">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Times New Roman;serif" w:hAnsi="Times New Roman;serif"/>
          <w:b w:val="false"/>
          <w:color w:val="000000"/>
          <w:sz w:val="22"/>
          <w:u w:val="single"/>
        </w:rPr>
        <w:t>Section 2.20</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036955"/>
                <wp:effectExtent l="0" t="0" r="0" b="0"/>
                <wp:wrapNone/>
                <wp:docPr id="268" name="Frame26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unless the Borrower is notified of the participation sold to such Participant and such Participant agrees, for the benefit of the Borrower, to comply with </w:t>
      </w:r>
      <w:r>
        <w:rPr>
          <w:rFonts w:ascii="Times New Roman;serif" w:hAnsi="Times New Roman;serif"/>
          <w:b w:val="false"/>
          <w:color w:val="000000"/>
          <w:sz w:val="22"/>
          <w:u w:val="single"/>
        </w:rPr>
        <w:t>Section 2.20(g)</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40" w:before="0" w:after="240"/>
        <w:ind w:left="0" w:right="0" w:firstLine="1440"/>
        <w:jc w:val="both"/>
        <w:rPr/>
      </w:pPr>
      <w:bookmarkStart w:id="625" w:name="i4f9dde0b37e0423bac90455d545dab04"/>
      <w:bookmarkEnd w:id="625"/>
      <w:r>
        <w:rPr>
          <w:rFonts w:ascii="Times New Roman;serif" w:hAnsi="Times New Roman;serif"/>
          <w:b w:val="false"/>
          <w:color w:val="000000"/>
          <w:sz w:val="22"/>
        </w:rPr>
        <w:t>(f)</w:t>
      </w:r>
      <w:r>
        <w:rPr>
          <w:rFonts w:ascii="Times New Roman;serif" w:hAnsi="Times New Roman;serif"/>
          <w:b w:val="false"/>
          <w:color w:val="000000"/>
          <w:sz w:val="22"/>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bookmarkStart w:id="626" w:name="i0588f93c246c4c679eeb5cd122a8d109"/>
      <w:bookmarkEnd w:id="626"/>
      <w:r>
        <w:rPr>
          <w:rFonts w:ascii="Times New Roman;serif" w:hAnsi="Times New Roman;serif"/>
          <w:b w:val="false"/>
          <w:color w:val="000000"/>
          <w:sz w:val="22"/>
        </w:rPr>
        <w:t>(g)</w:t>
      </w:r>
      <w:r>
        <w:rPr>
          <w:rFonts w:ascii="Times New Roman;serif" w:hAnsi="Times New Roman;serif"/>
          <w:b w:val="false"/>
          <w:color w:val="000000"/>
          <w:sz w:val="22"/>
        </w:rPr>
        <w:t>The Administrative Agent shall not have any responsibility for ensuring that an assignee of, or a participant in, a Loan or Commitment is not a Disqualified Institution, and shall not have any liability in the event that Loans or Commitments, or a participation therein, are transferred to any Disqualified Institution.</w:t>
      </w:r>
    </w:p>
    <w:p>
      <w:pPr>
        <w:pStyle w:val="TextBody"/>
        <w:bidi w:val="0"/>
        <w:spacing w:lineRule="auto" w:line="240" w:before="0" w:after="240"/>
        <w:ind w:left="0" w:right="0" w:firstLine="1440"/>
        <w:jc w:val="both"/>
        <w:rPr/>
      </w:pPr>
      <w:bookmarkStart w:id="627" w:name="i041bc217526341ada80e78f7f45961bb"/>
      <w:bookmarkEnd w:id="627"/>
      <w:r>
        <w:rPr>
          <w:rFonts w:ascii="Times New Roman;serif" w:hAnsi="Times New Roman;serif"/>
          <w:b w:val="false"/>
          <w:color w:val="000000"/>
          <w:sz w:val="22"/>
        </w:rPr>
        <w:t>(h)</w:t>
      </w:r>
      <w:r>
        <w:rPr>
          <w:rFonts w:ascii="Times New Roman;serif" w:hAnsi="Times New Roman;serif"/>
          <w:b w:val="false"/>
          <w:color w:val="000000"/>
          <w:sz w:val="22"/>
        </w:rPr>
        <w:t>For the avoidance of doubt, the addition of any Person to the list of Disqualified Institutions shall solely apply prospectively and shall have no effect with respect to any assignment or participation that occurs or any Loans, Commitments or Revolving Credit Exposure acquired by such Person, in each case prior to the date such Person is added to the list of Disqualified Institutions.</w:t>
      </w:r>
    </w:p>
    <w:p>
      <w:pPr>
        <w:pStyle w:val="TextBody"/>
        <w:bidi w:val="0"/>
        <w:spacing w:lineRule="auto" w:line="240" w:before="0" w:after="240"/>
        <w:ind w:left="0" w:right="0" w:firstLine="720"/>
        <w:jc w:val="both"/>
        <w:rPr/>
      </w:pPr>
      <w:bookmarkStart w:id="628" w:name="ic46b544237e0482bb149fbcb3be5c618"/>
      <w:bookmarkEnd w:id="628"/>
      <w:r>
        <w:rPr>
          <w:rFonts w:ascii="Times New Roman;serif" w:hAnsi="Times New Roman;serif"/>
          <w:b/>
          <w:color w:val="000000"/>
          <w:sz w:val="22"/>
        </w:rPr>
        <w:t>Section 10.5</w:t>
      </w:r>
      <w:r>
        <w:rPr>
          <w:rFonts w:ascii="Times New Roman;serif" w:hAnsi="Times New Roman;serif"/>
          <w:b/>
          <w:color w:val="000000"/>
          <w:sz w:val="22"/>
          <w:u w:val="single"/>
        </w:rPr>
        <w:t>Governing Law; Jurisdiction; Consent to Service of Process.</w:t>
      </w:r>
    </w:p>
    <w:p>
      <w:pPr>
        <w:pStyle w:val="TextBody"/>
        <w:bidi w:val="0"/>
        <w:spacing w:lineRule="auto" w:line="240" w:before="0" w:after="240"/>
        <w:ind w:left="0" w:right="0" w:firstLine="1440"/>
        <w:jc w:val="both"/>
        <w:rPr/>
      </w:pPr>
      <w:bookmarkStart w:id="629" w:name="i50ea41de38eb47adb1fd212bafd186b7"/>
      <w:bookmarkEnd w:id="629"/>
      <w:r>
        <w:rPr>
          <w:rFonts w:ascii="Times New Roman;serif" w:hAnsi="Times New Roman;serif"/>
          <w:b w:val="false"/>
          <w:color w:val="000000"/>
          <w:sz w:val="22"/>
        </w:rPr>
        <w:t>(a)</w:t>
      </w:r>
      <w:r>
        <w:rPr>
          <w:rFonts w:ascii="Times New Roman;serif" w:hAnsi="Times New Roman;serif"/>
          <w:b w:val="false"/>
          <w:color w:val="000000"/>
          <w:sz w:val="22"/>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New York.</w:t>
      </w:r>
    </w:p>
    <w:p>
      <w:pPr>
        <w:pStyle w:val="TextBody"/>
        <w:bidi w:val="0"/>
        <w:spacing w:lineRule="auto" w:line="240" w:before="0" w:after="240"/>
        <w:ind w:left="0" w:right="0" w:firstLine="1440"/>
        <w:jc w:val="both"/>
        <w:rPr/>
      </w:pPr>
      <w:bookmarkStart w:id="630" w:name="i4b934a20972143668ad34aa42c11a234"/>
      <w:bookmarkEnd w:id="630"/>
      <w:r>
        <w:rPr>
          <w:rFonts w:ascii="Times New Roman;serif" w:hAnsi="Times New Roman;serif"/>
          <w:b w:val="false"/>
          <w:color w:val="000000"/>
          <w:sz w:val="22"/>
        </w:rPr>
        <w:t>(b)</w:t>
      </w:r>
      <w:r>
        <w:rPr>
          <w:rFonts w:ascii="Times New Roman;serif" w:hAnsi="Times New Roman;serif"/>
          <w:b w:val="false"/>
          <w:color w:val="000000"/>
          <w:sz w:val="22"/>
        </w:rPr>
        <w:t>Each of the parties hereto hereby irrevocably and unconditionally submits, for itself and its property, to the exclusive jurisdiction of the United States District Court for the Southern District of New York sitting in New York County, Borough of Manhattan,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New York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the Borrower or its properties in the courts of any jurisdiction if necessary to enforce their rights against the Collateral in such jurisdiction (and the Loan Parties may respond and assert counter-claims) in any such action or proceeding.</w:t>
      </w:r>
    </w:p>
    <w:p>
      <w:pPr>
        <w:pStyle w:val="TextBody"/>
        <w:bidi w:val="0"/>
        <w:spacing w:lineRule="auto" w:line="240" w:before="0" w:after="240"/>
        <w:ind w:left="0" w:right="0" w:firstLine="1440"/>
        <w:jc w:val="both"/>
        <w:rPr/>
      </w:pPr>
      <w:bookmarkStart w:id="631" w:name="i5652bae7c5494bbfb2466d9dfc484f8a"/>
      <w:bookmarkEnd w:id="631"/>
      <w:r>
        <w:rPr>
          <w:rFonts w:ascii="Times New Roman;serif" w:hAnsi="Times New Roman;serif"/>
          <w:b w:val="false"/>
          <w:color w:val="000000"/>
          <w:sz w:val="22"/>
        </w:rPr>
        <w:t>(c)</w:t>
      </w:r>
      <w:r>
        <w:rPr>
          <w:rFonts w:ascii="Times New Roman;serif" w:hAnsi="Times New Roman;serif"/>
          <w:b w:val="false"/>
          <w:color w:val="000000"/>
          <w:sz w:val="22"/>
        </w:rPr>
        <w:t>The Borrower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1440"/>
        <w:jc w:val="both"/>
        <w:rPr/>
      </w:pPr>
      <w:bookmarkStart w:id="632" w:name="i7d1c8796b0b544ac89376fe2fee0ccb7"/>
      <w:bookmarkEnd w:id="632"/>
      <w:r>
        <w:rPr>
          <w:rFonts w:ascii="Times New Roman;serif" w:hAnsi="Times New Roman;serif"/>
          <w:b w:val="false"/>
          <w:color w:val="000000"/>
          <w:sz w:val="22"/>
        </w:rPr>
        <w:t>(d)</w:t>
      </w:r>
      <w:r>
        <w:rPr>
          <w:rFonts w:ascii="Times New Roman;serif" w:hAnsi="Times New Roman;serif"/>
          <w:b w:val="false"/>
          <w:color w:val="000000"/>
          <w:sz w:val="22"/>
        </w:rPr>
        <w:t xml:space="preserve">Each party to this Agreement irrevocably consents to the service of process in the manner provided for notices in </w:t>
      </w:r>
      <w:r>
        <w:rPr>
          <w:rFonts w:ascii="Times New Roman;serif" w:hAnsi="Times New Roman;serif"/>
          <w:b w:val="false"/>
          <w:color w:val="000000"/>
          <w:sz w:val="22"/>
          <w:u w:val="single"/>
        </w:rPr>
        <w:t>Section 10.1</w:t>
      </w:r>
      <w:r>
        <w:rPr>
          <w:rFonts w:ascii="Times New Roman;serif" w:hAnsi="Times New Roman;serif"/>
          <w:b w:val="false"/>
          <w:color w:val="000000"/>
          <w:sz w:val="22"/>
        </w:rPr>
        <w:t>. Nothing in this Agreement or in any other Loan Document will affect the right of any party hereto to serve process in any other manner permitted by law.</w:t>
      </w:r>
    </w:p>
    <w:p>
      <w:pPr>
        <w:pStyle w:val="TextBody"/>
        <w:bidi w:val="0"/>
        <w:spacing w:lineRule="auto" w:line="240"/>
        <w:ind w:left="0" w:right="0" w:firstLine="720"/>
        <w:jc w:val="both"/>
        <w:rPr/>
      </w:pPr>
      <w:bookmarkStart w:id="633" w:name="i20e3fb3ca73e420a8a958d85ea5d99af"/>
      <w:bookmarkEnd w:id="633"/>
      <w:r>
        <w:rPr>
          <w:rFonts w:ascii="Times New Roman;serif" w:hAnsi="Times New Roman;serif"/>
          <w:b/>
          <w:color w:val="000000"/>
          <w:sz w:val="22"/>
        </w:rPr>
        <w:t>Section 10.6</w:t>
      </w:r>
      <w:r>
        <w:rPr>
          <w:rFonts w:ascii="Times New Roman;serif" w:hAnsi="Times New Roman;serif"/>
          <w:b/>
          <w:color w:val="000000"/>
          <w:sz w:val="22"/>
          <w:u w:val="single"/>
        </w:rPr>
        <w:t>WAIVER OF JURY TRIAL</w:t>
      </w:r>
      <w:r>
        <w:rPr>
          <w:rFonts w:ascii="Times New Roman;serif" w:hAnsi="Times New Roman;serif"/>
          <w:b w:val="false"/>
          <w:color w:val="000000"/>
          <w:sz w:val="22"/>
        </w:rPr>
        <w:t xml:space="preserve">. EACH PARTY HERETO IRREVOCABLY WAIVES, TO THE FULLEST EXTENT PERMITTED BY APPLICABLE LAW, ANY RIGHT IT MAY HAVE TO A TRIAL BY JURY IN ANY LEGAL PROCEEDING DIRECTLY OR INDIRECTLY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036955"/>
                <wp:effectExtent l="0" t="0" r="0" b="0"/>
                <wp:wrapNone/>
                <wp:docPr id="269" name="Frame267"/>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143</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0"/>
        <w:ind w:left="0" w:right="0" w:firstLine="720"/>
        <w:jc w:val="both"/>
        <w:rPr/>
      </w:pPr>
      <w:bookmarkStart w:id="634" w:name="i07e6b662e0f9447295e46ecfd5489ba4"/>
      <w:bookmarkEnd w:id="634"/>
      <w:r>
        <w:rPr>
          <w:rFonts w:ascii="Times New Roman;serif" w:hAnsi="Times New Roman;serif"/>
          <w:b/>
          <w:color w:val="000000"/>
          <w:sz w:val="22"/>
        </w:rPr>
        <w:t>Section 10.7</w:t>
      </w:r>
      <w:r>
        <w:rPr>
          <w:rFonts w:ascii="Times New Roman;serif" w:hAnsi="Times New Roman;serif"/>
          <w:b/>
          <w:color w:val="000000"/>
          <w:sz w:val="22"/>
          <w:u w:val="single"/>
        </w:rPr>
        <w:t>Right of Set-off</w:t>
      </w:r>
      <w:r>
        <w:rPr>
          <w:rFonts w:ascii="Times New Roman;serif" w:hAnsi="Times New Roman;serif"/>
          <w:b w:val="false"/>
          <w:color w:val="000000"/>
          <w:sz w:val="22"/>
        </w:rPr>
        <w:t xml:space="preserve">. In addition to any rights now or hereafter granted under applicable law and not by way of limitation of any such rights, each Lender and each Issuing Bank shall have the right, at any time or from time to time upon the occurrence and during the continuance of an Event of Default, without prior notice to the Borrower, any such notice being expressly waived by the Borrower to the extent permitted by applicable law, to set off and apply against all deposits (general or special, time or demand, provisional or final) of the Borrower at any time held or other obligations at any time owing by such Lender and such Issuing Bank to or for the credit or the account of the Borrower against any and all Obligations held by such Lender or such Issuing Bank, as the case may be, irrespective of whether such Lender or such Issuing Bank shall have made demand hereunder and although such Obligations may be unmatured;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2.26(b)</w:t>
      </w:r>
      <w:r>
        <w:rPr>
          <w:color w:val="000000"/>
        </w:rPr>
        <w:t xml:space="preserve"> </w:t>
      </w:r>
      <w:r>
        <w:rPr>
          <w:rFonts w:ascii="Times New Roman;serif" w:hAnsi="Times New Roman;serif"/>
          <w:b w:val="false"/>
          <w:color w:val="000000"/>
          <w:sz w:val="22"/>
        </w:rPr>
        <w:t>and, pending such payment, shall be segregated by such Defaulting Lender from its other funds and deemed held in trust for the benefit of the Administrative Agent, the Issuing Banks, and the Lenders, and (y) the Defaulting Lender shall (A) provide promptly to the Administrative Agent and (B) use commercially reasonable efforts to provide promptly to the Lenders, in each case, a statement describing in reasonable detail the Obligations owing to such Defaulting Lender as to which it exercised such right of setoff. Each Lender and each Issuing Bank agrees promptly to notify the Administrative Agent and the Borrower after any such set-off and any application made by such Lender or such Issuing Bank, as the case may be; provided that the failure to give such notice shall not affect the validity of such set-off and application. Each Lender and each Issuing Bank agrees to apply all amounts collected from any such set-off to the Obligations before applying such amounts to any other Indebtedness or other obligations owed by the Borrower and any of its Subsidiaries to such Lender or such Issuing Bank.</w:t>
      </w:r>
    </w:p>
    <w:p>
      <w:pPr>
        <w:pStyle w:val="TextBody"/>
        <w:bidi w:val="0"/>
        <w:spacing w:lineRule="auto" w:line="240" w:before="0" w:after="0"/>
        <w:ind w:left="0" w:right="0" w:firstLine="720"/>
        <w:jc w:val="both"/>
        <w:rPr/>
      </w:pPr>
      <w:bookmarkStart w:id="635" w:name="i8dee818555f245919c2562c8e5257301"/>
      <w:bookmarkEnd w:id="635"/>
      <w:r>
        <w:rPr>
          <w:rFonts w:ascii="Times New Roman;serif" w:hAnsi="Times New Roman;serif"/>
          <w:b/>
          <w:color w:val="000000"/>
          <w:sz w:val="22"/>
        </w:rPr>
        <w:t>Section 10.8</w:t>
      </w:r>
      <w:r>
        <w:rPr>
          <w:rFonts w:ascii="Times New Roman;serif" w:hAnsi="Times New Roman;serif"/>
          <w:b/>
          <w:color w:val="000000"/>
          <w:sz w:val="22"/>
          <w:u w:val="single"/>
        </w:rPr>
        <w:t>Counterparts; Integration</w:t>
      </w:r>
      <w:r>
        <w:rPr>
          <w:rFonts w:ascii="Times New Roman;serif" w:hAnsi="Times New Roman;serif"/>
          <w:b w:val="false"/>
          <w:color w:val="000000"/>
          <w:sz w:val="22"/>
        </w:rPr>
        <w:t>. This Agreement may be executed by one or more of the parties to this Agreement on any number of separate counterparts, and all of said counterparts taken together shall be deemed to constitute one and the same instrument. This Agreement, the Fee Letters,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pStyle w:val="TextBody"/>
        <w:bidi w:val="0"/>
        <w:spacing w:lineRule="auto" w:line="240" w:before="0" w:after="0"/>
        <w:ind w:left="0" w:right="0" w:firstLine="720"/>
        <w:jc w:val="both"/>
        <w:rPr/>
      </w:pPr>
      <w:bookmarkStart w:id="636" w:name="icd6fde0097084063910bb1695022b815"/>
      <w:bookmarkEnd w:id="636"/>
      <w:r>
        <w:rPr>
          <w:rFonts w:ascii="Times New Roman;serif" w:hAnsi="Times New Roman;serif"/>
          <w:b/>
          <w:color w:val="000000"/>
          <w:sz w:val="22"/>
        </w:rPr>
        <w:t>Section 10.9</w:t>
      </w:r>
      <w:r>
        <w:rPr>
          <w:rFonts w:ascii="Times New Roman;serif" w:hAnsi="Times New Roman;serif"/>
          <w:b/>
          <w:color w:val="000000"/>
          <w:sz w:val="22"/>
          <w:u w:val="single"/>
        </w:rPr>
        <w:t>Survival</w:t>
      </w:r>
      <w:r>
        <w:rPr>
          <w:rFonts w:ascii="Times New Roman;serif" w:hAnsi="Times New Roman;serif"/>
          <w:b w:val="false"/>
          <w:color w:val="000000"/>
          <w:sz w:val="22"/>
        </w:rPr>
        <w:t xml:space="preserve">. All covenants, agreements, representations and warranties made by the Borrower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serif" w:hAnsi="Times New Roman;serif"/>
          <w:b w:val="false"/>
          <w:color w:val="000000"/>
          <w:sz w:val="22"/>
          <w:u w:val="single"/>
        </w:rPr>
        <w:t>Sections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lineRule="auto" w:line="240"/>
        <w:ind w:left="0" w:right="0" w:firstLine="720"/>
        <w:jc w:val="both"/>
        <w:rPr/>
      </w:pPr>
      <w:bookmarkStart w:id="637" w:name="i46a23c9197d7481981a46224eb585f88"/>
      <w:bookmarkEnd w:id="637"/>
      <w:r>
        <w:rPr>
          <w:rFonts w:ascii="Times New Roman;serif" w:hAnsi="Times New Roman;serif"/>
          <w:b/>
          <w:color w:val="000000"/>
          <w:sz w:val="22"/>
        </w:rPr>
        <w:t>Section 10.10</w:t>
      </w:r>
      <w:r>
        <w:rPr>
          <w:rFonts w:ascii="Times New Roman;serif" w:hAnsi="Times New Roman;serif"/>
          <w:b/>
          <w:color w:val="000000"/>
          <w:sz w:val="22"/>
          <w:u w:val="single"/>
        </w:rPr>
        <w:t>Severability</w:t>
      </w:r>
      <w:r>
        <w:rPr>
          <w:rFonts w:ascii="Times New Roman;serif" w:hAnsi="Times New Roman;serif"/>
          <w:b w:val="false"/>
          <w:color w:val="000000"/>
          <w:sz w:val="22"/>
        </w:rPr>
        <w:t xml:space="preserve">. Any provision of this Agreement or any other Loan Document held to be illegal, invalid or unenforceable in any jurisdiction, shall, as to such jurisdiction, be ineffective to the extent of such illegality, invalidity or unenforceability without affecting the legality, validity or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036955"/>
                <wp:effectExtent l="0" t="0" r="0" b="0"/>
                <wp:wrapNone/>
                <wp:docPr id="270" name="Frame268"/>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144</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enforceability of the remaining provisions hereof or thereof; and the illegality, invalidity or unenforceability of a particular provision in a particular jurisdiction shall not invalidate or render unenforceable such provision in any other jurisdiction.</w:t>
      </w:r>
    </w:p>
    <w:p>
      <w:pPr>
        <w:pStyle w:val="TextBody"/>
        <w:bidi w:val="0"/>
        <w:spacing w:lineRule="auto" w:line="240" w:before="0" w:after="0"/>
        <w:ind w:left="0" w:right="0" w:firstLine="720"/>
        <w:jc w:val="both"/>
        <w:rPr/>
      </w:pPr>
      <w:bookmarkStart w:id="638" w:name="iecab74c9e4d940909cb5b2c078a01c22"/>
      <w:bookmarkEnd w:id="638"/>
      <w:r>
        <w:rPr>
          <w:rFonts w:ascii="Times New Roman;serif" w:hAnsi="Times New Roman;serif"/>
          <w:b/>
          <w:color w:val="000000"/>
          <w:sz w:val="22"/>
        </w:rPr>
        <w:t>Section 10.11</w:t>
      </w:r>
      <w:r>
        <w:rPr>
          <w:rFonts w:ascii="Times New Roman;serif" w:hAnsi="Times New Roman;serif"/>
          <w:b/>
          <w:color w:val="000000"/>
          <w:sz w:val="22"/>
          <w:u w:val="single"/>
        </w:rPr>
        <w:t>Confidentiality</w:t>
      </w:r>
      <w:r>
        <w:rPr>
          <w:rFonts w:ascii="Times New Roman;serif" w:hAnsi="Times New Roman;serif"/>
          <w:b w:val="false"/>
          <w:color w:val="000000"/>
          <w:sz w:val="22"/>
        </w:rPr>
        <w:t xml:space="preserve">. Each of the Administrative Agent, the Issuing Banks and the Lenders agrees to maintain the confidentiality of any information received from the Borrower or any of its Subsidiaries relating to the Borrower or any of its Subsidiaries or any of their respective businesses, other than any such information that is available to the Administrative Agent, any Issuing Bank or any Lender on a non-confidential basis prior to disclosure by the Borrower or any of its Subsidiaries, except that such information may be disclosed (i) to any Related Party of the Administrative Agent, any Issuing Bank or any such Lender including accountants, legal counsel, credit insurance providers, brokers and other advisors who need to know such information in connection with the transactions contemplated by this Agreement and are informed of the confidential nature of such information, (ii) to the extent required by applicable laws or regulations or by any subpoena or similar legal process, (iii) to the extent requested by any regulatory agency or authority purporting to have jurisdiction over it (including any self-regulatory authority such as the National Association of Insurance Commissioners) (in which case, except with respect to any routine audit or examination conducted by accountants or any routine examination by any Governmental Authority, such disclosing party agrees to inform the Borrower reasonably promptly thereof prior to such disclosure to the extent not prohibited by law, rule or regulation), (iv) to the extent that such information becomes publicly available other than as a result of a breach of this Section, or which becomes available to the Administrative Agent, any Issuing Bank, any Lender or any Related Party of any of the foregoing on a non-confidential basis from a source other than the Borrower or any of its Subsidiaries, (v) in connection with the exercise of any remedy hereunder or under any other Loan Documents or any suit, action or proceeding relating to this Agreement or any other Loan Documents or the enforcement of rights hereunder or thereunder, (vi) subject to execution by such Person of an agreement containing provisions substantially the same as those of this Section, to (A) any assignee of or Participant in, or any prospective assignee of or Participant in, any of its rights or obligations under this Agreement, and, in each case, their respective financing sources, or (B) any actual or prospective party (or its Related Parties) to any swap or derivative or other transaction under which payments are to be made by reference to the Borrower and its obligations, this Agreement or payments hereunder, (vii) to any rating agency, (viii) to the CUSIP Service Bureau or any similar organization, or (ix) with the written consent of the Borrower. Any Person required to maintain the confidentiality of any information as provided for in this Section shall exercise the same degree of care to maintain the confidentiality of such information as such Person would accord its own confidential information. In the event of any conflict between the terms of this Section and those of any other Contractual Obligation entered into with any Loan Party (whether or not a Loan Document), the terms of this Section shall govern. Each Arranger may, at its own expense, place customary tombstone announcements and advertisements or otherwise publicize their engagement hereunder (which may include the reproduction of any Loan Party’s name and logo and other publicly available information) in financial and other newspapers and journals and marketing materials describing its services hereunder. Further, each Arranger may provide to market data collectors, such as league table, or other service providers to the lending industry, information regarding the closing date, size, type, purpose of, and parties to, the credit facilities established hereunder. In addition, the Administrative Agent, the Issuing Banks and the Lenders may disclose the existence of this Agreement and information about this Agreement to market data collectors, similar service providers to the lending industry and service providers to the Administrative Agent or any Issuing Bank or Lender in connection with the administration of this Agreement, the other Loan Documents, and the Commitments. </w:t>
      </w:r>
    </w:p>
    <w:p>
      <w:pPr>
        <w:pStyle w:val="TextBody"/>
        <w:bidi w:val="0"/>
        <w:spacing w:lineRule="auto" w:line="240"/>
        <w:ind w:left="0" w:right="0" w:firstLine="720"/>
        <w:jc w:val="both"/>
        <w:rPr/>
      </w:pPr>
      <w:bookmarkStart w:id="639" w:name="if32d8694099440cea0e24f0682849906"/>
      <w:bookmarkEnd w:id="639"/>
      <w:r>
        <w:rPr>
          <w:rFonts w:ascii="Times New Roman;serif" w:hAnsi="Times New Roman;serif"/>
          <w:b/>
          <w:color w:val="000000"/>
          <w:sz w:val="22"/>
        </w:rPr>
        <w:t>Section 10.12</w:t>
      </w:r>
      <w:r>
        <w:rPr>
          <w:rFonts w:ascii="Times New Roman;serif" w:hAnsi="Times New Roman;serif"/>
          <w:b/>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together with all fees, charges and other amounts which may be treated as interest on such Loan under applicable law (collectively, the “Charges”), shall exceed the maximum lawful rate of interest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036955"/>
                <wp:effectExtent l="0" t="0" r="0" b="0"/>
                <wp:wrapNone/>
                <wp:docPr id="271" name="Frame269"/>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145</w:t>
                      </w:r>
                    </w:p>
                  </w:txbxContent>
                </v:textbox>
                <w10:wrap type="none"/>
              </v:rect>
            </w:pict>
          </mc:Fallback>
        </mc:AlternateContent>
      </w:r>
    </w:p>
    <w:p>
      <w:pPr>
        <w:pStyle w:val="TextBody"/>
        <w:bidi w:val="0"/>
        <w:spacing w:lineRule="auto" w:line="240" w:before="0" w:after="0"/>
        <w:ind w:left="0" w:right="0" w:firstLine="720"/>
        <w:jc w:val="both"/>
        <w:rPr/>
      </w:pPr>
      <w:bookmarkStart w:id="640" w:name="i9e8b07a51dd2427ea91872a2be9d38e5"/>
      <w:bookmarkEnd w:id="640"/>
      <w:r>
        <w:rPr>
          <w:rFonts w:ascii="Times New Roman;serif" w:hAnsi="Times New Roman;serif"/>
          <w:b/>
          <w:color w:val="000000"/>
          <w:sz w:val="22"/>
        </w:rPr>
        <w:t>Section 10.13</w:t>
      </w:r>
      <w:r>
        <w:rPr>
          <w:rFonts w:ascii="Times New Roman;serif" w:hAnsi="Times New Roman;serif"/>
          <w:b/>
          <w:color w:val="000000"/>
          <w:sz w:val="22"/>
          <w:u w:val="single"/>
        </w:rPr>
        <w:t>Waiver of Effect of Corporate Seal</w:t>
      </w:r>
      <w:r>
        <w:rPr>
          <w:rFonts w:ascii="Times New Roman;serif" w:hAnsi="Times New Roman;serif"/>
          <w:b w:val="false"/>
          <w:color w:val="000000"/>
          <w:sz w:val="22"/>
        </w:rPr>
        <w:t>. The Borrower represents and warrants that neither it nor any other Loan Party is required to affix its corporate seal to this Agreement or any other Loan Document pursuant to any Requirement of Law, agrees that this Agreement is delivered by the Borrower under seal and waives any shortening of the statute of limitations that may result from not affixing the corporate seal to this Agreement or such other Loan Documents.</w:t>
      </w:r>
    </w:p>
    <w:p>
      <w:pPr>
        <w:pStyle w:val="TextBody"/>
        <w:bidi w:val="0"/>
        <w:spacing w:lineRule="auto" w:line="240" w:before="0" w:after="0"/>
        <w:ind w:left="0" w:right="0" w:firstLine="720"/>
        <w:jc w:val="both"/>
        <w:rPr/>
      </w:pPr>
      <w:bookmarkStart w:id="641" w:name="i0e7f65cf27444bf3ac0c5a9397d5d9f5"/>
      <w:bookmarkEnd w:id="641"/>
      <w:r>
        <w:rPr>
          <w:rFonts w:ascii="Times New Roman;serif" w:hAnsi="Times New Roman;serif"/>
          <w:b/>
          <w:color w:val="000000"/>
          <w:sz w:val="22"/>
        </w:rPr>
        <w:t>Section 10.14</w:t>
      </w:r>
      <w:r>
        <w:rPr>
          <w:rFonts w:ascii="Times New Roman;serif" w:hAnsi="Times New Roman;serif"/>
          <w:b/>
          <w:color w:val="000000"/>
          <w:sz w:val="22"/>
          <w:u w:val="single"/>
        </w:rPr>
        <w:t>Patriot Act</w:t>
      </w:r>
      <w:r>
        <w:rPr>
          <w:rFonts w:ascii="Times New Roman;serif" w:hAnsi="Times New Roman;serif"/>
          <w:b w:val="false"/>
          <w:color w:val="000000"/>
          <w:sz w:val="22"/>
        </w:rPr>
        <w:t>. The Administrative Agent and each Lender hereby notifies the Loan Parties that, pursuant to (a)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(b) the Beneficial Ownership Regulation, it is required to obtain a Beneficial Ownership Certificate.</w:t>
      </w:r>
    </w:p>
    <w:p>
      <w:pPr>
        <w:pStyle w:val="TextBody"/>
        <w:bidi w:val="0"/>
        <w:spacing w:lineRule="auto" w:line="240" w:before="0" w:after="0"/>
        <w:ind w:left="0" w:right="0" w:firstLine="720"/>
        <w:jc w:val="both"/>
        <w:rPr/>
      </w:pPr>
      <w:bookmarkStart w:id="642" w:name="i747e5beb39864d3a94b091964eb275a4"/>
      <w:bookmarkEnd w:id="642"/>
      <w:r>
        <w:rPr>
          <w:rFonts w:ascii="Times New Roman;serif" w:hAnsi="Times New Roman;serif"/>
          <w:b/>
          <w:color w:val="000000"/>
          <w:sz w:val="22"/>
        </w:rPr>
        <w:t>Section 10.15</w:t>
      </w:r>
      <w:r>
        <w:rPr>
          <w:rFonts w:ascii="Times New Roman;serif" w:hAnsi="Times New Roman;serif"/>
          <w:b/>
          <w:color w:val="000000"/>
          <w:sz w:val="22"/>
          <w:u w:val="single"/>
        </w:rPr>
        <w:t>No Advisory or Fiduciary Responsibility</w:t>
      </w:r>
      <w:r>
        <w:rPr>
          <w:rFonts w:ascii="Times New Roman;serif" w:hAnsi="Times New Roman;serif"/>
          <w:b w:val="false"/>
          <w:color w:val="000000"/>
          <w:sz w:val="22"/>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services regarding this Agreement provided by the Arrangers, the Administrative Agent and/or the Lenders are arm’s-length commercial transactions between the Borrower, each other Loan Party and their respective Affiliates, on the one hand, and the Arrangers, the Administrative Agent and the Lenders, on the other hand, (B) each of the Borrower and the other Loan Parties have consulted their own legal, accounting, regulatory and tax advisors to the extent they have deemed appropriate, and (C) the Borrower and each other Loan Party is capable of evaluating and understanding, and understands and accepts, the terms, risks and conditions of the transactions contemplated hereby and by the other Loan Documents; (ii) (A) each of the Arrangers, the Administrative 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any Arranger nor any Lender has any obligation to the Borrower, any other Loan Party or any of their Affiliates with respect to the transaction contemplated hereby except those obligations expressly set forth herein and in the other Loan Documents; and (iii) the Arrangers, the Administrative Agent, the Lenders and their respective Affiliates may be engaged in a broad range of transactions that involve interests that differ from those of the Borrower, the other Loan Parties and their respective Affiliates, and each of the Arrangers, the Administrative Agent and the Lenders has no obligation to disclose any of such interests to the Borrower, any other Loan Party or any of their respective Affiliates. To the fullest extent permitted by law, each of the Borrower and the other Loan Parties hereby waives and releases any claims that it may have against any Arranger, the Administrative Agent or any Lender with respect to any breach or alleged breach of agency or fiduciary duty in connection with any aspect of any transaction contemplated hereby.</w:t>
      </w:r>
    </w:p>
    <w:p>
      <w:pPr>
        <w:pStyle w:val="TextBody"/>
        <w:bidi w:val="0"/>
        <w:spacing w:lineRule="auto" w:line="240" w:before="0" w:after="0"/>
        <w:ind w:left="0" w:right="0" w:firstLine="720"/>
        <w:jc w:val="both"/>
        <w:rPr/>
      </w:pPr>
      <w:bookmarkStart w:id="643" w:name="ib2b97e0d7e8046fbb757fc648162fea1"/>
      <w:bookmarkEnd w:id="643"/>
      <w:r>
        <w:rPr>
          <w:rFonts w:ascii="Times New Roman;serif" w:hAnsi="Times New Roman;serif"/>
          <w:b/>
          <w:color w:val="000000"/>
          <w:sz w:val="22"/>
        </w:rPr>
        <w:t>Section 10.16</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bookmarkStart w:id="644" w:name="i19054ea6464d4d0e9d70de5427382bd4"/>
      <w:bookmarkEnd w:id="644"/>
      <w:r>
        <w:rPr>
          <w:rFonts w:ascii="Times New Roman;serif" w:hAnsi="Times New Roman;serif"/>
          <w:b/>
          <w:color w:val="000000"/>
          <w:sz w:val="22"/>
        </w:rPr>
        <w:t>Section 10.17</w:t>
      </w:r>
      <w:r>
        <w:rPr>
          <w:rFonts w:ascii="Times New Roman;serif" w:hAnsi="Times New Roman;serif"/>
          <w:b/>
          <w:color w:val="000000"/>
          <w:sz w:val="22"/>
          <w:u w:val="single"/>
        </w:rPr>
        <w:t>Independence of Covenants</w:t>
      </w:r>
      <w:r>
        <w:rPr>
          <w:rFonts w:ascii="Times New Roman;serif" w:hAnsi="Times New Roman;serif"/>
          <w:b w:val="false"/>
          <w:color w:val="000000"/>
          <w:sz w:val="22"/>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pStyle w:val="TextBody"/>
        <w:bidi w:val="0"/>
        <w:spacing w:lineRule="auto" w:line="240" w:before="0" w:after="0"/>
        <w:ind w:left="0" w:right="0" w:firstLine="720"/>
        <w:jc w:val="both"/>
        <w:rPr/>
      </w:pPr>
      <w:bookmarkStart w:id="645" w:name="ie793871676944b86a04cd565f912c28e"/>
      <w:bookmarkEnd w:id="645"/>
      <w:r>
        <w:rPr>
          <w:rFonts w:ascii="Times New Roman;serif" w:hAnsi="Times New Roman;serif"/>
          <w:b/>
          <w:color w:val="000000"/>
          <w:sz w:val="22"/>
        </w:rPr>
        <w:t>Section 10.18</w:t>
      </w:r>
      <w:r>
        <w:rPr>
          <w:rFonts w:ascii="Times New Roman;serif" w:hAnsi="Times New Roman;serif"/>
          <w:b/>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440"/>
        <w:jc w:val="both"/>
        <w:rPr/>
      </w:pPr>
      <w:bookmarkStart w:id="646" w:name="ia0fb3a85d78c41d297a6991a174bb0d9"/>
      <w:bookmarkEnd w:id="646"/>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440"/>
        <w:jc w:val="both"/>
        <w:rPr/>
      </w:pPr>
      <w:bookmarkStart w:id="647" w:name="i2cbe7fc77fc34572b96a781a49b41ecc"/>
      <w:bookmarkEnd w:id="647"/>
      <w:r>
        <w:rPr>
          <w:rFonts w:ascii="Times New Roman;serif" w:hAnsi="Times New Roman;serif"/>
          <w:b w:val="false"/>
          <w:color w:val="000000"/>
          <w:sz w:val="22"/>
        </w:rPr>
        <w:t>(b)</w:t>
      </w:r>
      <w:r>
        <w:rPr>
          <w:rFonts w:ascii="Times New Roman;serif" w:hAnsi="Times New Roman;serif"/>
          <w:b w:val="false"/>
          <w:color w:val="000000"/>
          <w:sz w:val="22"/>
        </w:rPr>
        <w:t xml:space="preserve">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036955"/>
                <wp:effectExtent l="0" t="0" r="0" b="0"/>
                <wp:wrapNone/>
                <wp:docPr id="272" name="Frame270"/>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bookmarkStart w:id="648" w:name="i7caf23b5392c46a68b9d7a11a6bad772"/>
      <w:bookmarkEnd w:id="648"/>
      <w:r>
        <w:rPr>
          <w:rFonts w:ascii="Times New Roman;serif" w:hAnsi="Times New Roman;serif"/>
          <w:b/>
          <w:color w:val="000000"/>
          <w:sz w:val="22"/>
        </w:rPr>
        <w:t>Section 10.19</w:t>
      </w:r>
      <w:r>
        <w:rPr>
          <w:rFonts w:ascii="Times New Roman;serif" w:hAnsi="Times New Roman;serif"/>
          <w:b/>
          <w:color w:val="000000"/>
          <w:sz w:val="22"/>
          <w:u w:val="single"/>
        </w:rPr>
        <w:t>Certain ERISA Matters.</w:t>
      </w:r>
    </w:p>
    <w:p>
      <w:pPr>
        <w:pStyle w:val="TextBody"/>
        <w:bidi w:val="0"/>
        <w:spacing w:lineRule="auto" w:line="240" w:before="0" w:after="240"/>
        <w:ind w:left="0" w:right="0" w:firstLine="1440"/>
        <w:jc w:val="both"/>
        <w:rPr/>
      </w:pPr>
      <w:bookmarkStart w:id="649" w:name="ic1b687ceb3384509ad3eb8427f6f4040"/>
      <w:bookmarkEnd w:id="649"/>
      <w:r>
        <w:rPr>
          <w:rFonts w:ascii="Times New Roman;serif" w:hAnsi="Times New Roman;serif"/>
          <w:b w:val="false"/>
          <w:color w:val="000000"/>
          <w:sz w:val="22"/>
        </w:rPr>
        <w:t>(a)</w:t>
      </w:r>
      <w:r>
        <w:rPr>
          <w:rFonts w:ascii="Times New Roman;serif" w:hAnsi="Times New Roman;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650" w:name="i46a109d3e208479bb8be4a6d1e2d9b30"/>
      <w:bookmarkEnd w:id="650"/>
      <w:r>
        <w:rPr>
          <w:rFonts w:ascii="Times New Roman;serif" w:hAnsi="Times New Roman;serif"/>
          <w:b w:val="false"/>
          <w:color w:val="000000"/>
          <w:sz w:val="22"/>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651" w:name="ib0f3870f3b2a4457a6217586bd05caf8"/>
      <w:bookmarkEnd w:id="651"/>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652" w:name="i57d9eaee9a264ae586fdc20b9d32e11f"/>
      <w:bookmarkEnd w:id="652"/>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653" w:name="icd577655552f43429b7949383f53f25d"/>
      <w:bookmarkEnd w:id="653"/>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1440"/>
        <w:jc w:val="both"/>
        <w:rPr/>
      </w:pPr>
      <w:bookmarkStart w:id="654" w:name="i036dbe9fba7e4edeb9ce9dc1dcc0aac2"/>
      <w:bookmarkEnd w:id="654"/>
      <w:r>
        <w:rPr>
          <w:rFonts w:ascii="Times New Roman;serif" w:hAnsi="Times New Roman;serif"/>
          <w:b w:val="false"/>
          <w:color w:val="000000"/>
          <w:sz w:val="22"/>
        </w:rPr>
        <w:t>(b)</w:t>
      </w:r>
      <w:r>
        <w:rPr>
          <w:rFonts w:ascii="Times New Roman;serif" w:hAnsi="Times New Roman;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ind w:left="0" w:right="0" w:firstLine="720"/>
        <w:jc w:val="both"/>
        <w:rPr/>
      </w:pPr>
      <w:bookmarkStart w:id="655" w:name="i3102091e4a2742cd8982e3eb6f758533"/>
      <w:bookmarkEnd w:id="655"/>
      <w:r>
        <w:rPr>
          <w:rFonts w:ascii="Times New Roman;serif" w:hAnsi="Times New Roman;serif"/>
          <w:b/>
          <w:color w:val="000000"/>
          <w:sz w:val="22"/>
        </w:rPr>
        <w:t>Section 10.20</w:t>
      </w:r>
      <w:r>
        <w:rPr>
          <w:rFonts w:ascii="Times New Roman;serif" w:hAnsi="Times New Roman;serif"/>
          <w:b/>
          <w:color w:val="000000"/>
          <w:sz w:val="22"/>
          <w:u w:val="single"/>
        </w:rPr>
        <w:t>Acknowledgement Regarding Any Supported QFCs</w:t>
      </w:r>
      <w:r>
        <w:rPr>
          <w:rFonts w:ascii="Times New Roman;serif" w:hAnsi="Times New Roman;serif"/>
          <w:b w:val="false"/>
          <w:color w:val="000000"/>
          <w:sz w:val="22"/>
        </w:rPr>
        <w:t>. To the extent that the Loan Documents provide support, through a guarantee or otherwise, for Hedging Obligations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036955"/>
                <wp:effectExtent l="0" t="0" r="0" b="0"/>
                <wp:wrapNone/>
                <wp:docPr id="273" name="Frame271"/>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147</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lineRule="auto" w:line="240" w:before="0" w:after="240"/>
        <w:ind w:left="0" w:right="0" w:firstLine="1440"/>
        <w:jc w:val="both"/>
        <w:rPr/>
      </w:pPr>
      <w:bookmarkStart w:id="656" w:name="if80c45da6ded43cfbb6b7cd6608704ca"/>
      <w:bookmarkEnd w:id="656"/>
      <w:r>
        <w:rPr>
          <w:rFonts w:ascii="Times New Roman;serif" w:hAnsi="Times New Roman;serif"/>
          <w:b w:val="false"/>
          <w:color w:val="000000"/>
          <w:sz w:val="22"/>
        </w:rPr>
        <w:t>(a)</w:t>
      </w:r>
      <w:r>
        <w:rPr>
          <w:rFonts w:ascii="Times New Roman;serif" w:hAnsi="Times New Roman;serif"/>
          <w:b w:val="false"/>
          <w:color w:val="000000"/>
          <w:sz w:val="22"/>
        </w:rPr>
        <w:t>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240"/>
        <w:ind w:left="0" w:right="0" w:firstLine="1440"/>
        <w:jc w:val="both"/>
        <w:rPr/>
      </w:pPr>
      <w:bookmarkStart w:id="657" w:name="ia95852691ebc41eb8da354e85aff9af6"/>
      <w:bookmarkEnd w:id="657"/>
      <w:r>
        <w:rPr>
          <w:rFonts w:ascii="Times New Roman;serif" w:hAnsi="Times New Roman;serif"/>
          <w:b w:val="false"/>
          <w:color w:val="000000"/>
          <w:sz w:val="22"/>
        </w:rPr>
        <w:t>(b)</w:t>
      </w:r>
      <w:r>
        <w:rPr>
          <w:rFonts w:ascii="Times New Roman;serif" w:hAnsi="Times New Roman;serif"/>
          <w:b w:val="false"/>
          <w:color w:val="000000"/>
          <w:sz w:val="22"/>
        </w:rPr>
        <w:t xml:space="preserve">As used in this </w:t>
      </w:r>
      <w:r>
        <w:rPr>
          <w:rFonts w:ascii="Times New Roman;serif" w:hAnsi="Times New Roman;serif"/>
          <w:b w:val="false"/>
          <w:color w:val="000000"/>
          <w:sz w:val="22"/>
          <w:u w:val="single"/>
        </w:rPr>
        <w:t>Section 10.20</w:t>
      </w:r>
      <w:r>
        <w:rPr>
          <w:rFonts w:ascii="Times New Roman;serif" w:hAnsi="Times New Roman;serif"/>
          <w:b w:val="false"/>
          <w:color w:val="000000"/>
          <w:sz w:val="22"/>
        </w:rPr>
        <w:t>, the following terms have the following meanings:</w:t>
      </w:r>
    </w:p>
    <w:p>
      <w:pPr>
        <w:pStyle w:val="TextBody"/>
        <w:bidi w:val="0"/>
        <w:spacing w:lineRule="auto" w:line="288" w:before="0" w:after="240"/>
        <w:jc w:val="left"/>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shall mean an “affiliate” (as such term is defined under, and interpreted in accordance with, 12 U.S.C. 1841(k)) of such party.</w:t>
      </w:r>
    </w:p>
    <w:p>
      <w:pPr>
        <w:pStyle w:val="TextBody"/>
        <w:bidi w:val="0"/>
        <w:spacing w:lineRule="auto" w:line="288" w:before="0" w:after="240"/>
        <w:jc w:val="left"/>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shall mean any of the following:</w:t>
      </w:r>
    </w:p>
    <w:p>
      <w:pPr>
        <w:pStyle w:val="TextBody"/>
        <w:bidi w:val="0"/>
        <w:spacing w:lineRule="auto" w:line="288" w:before="0" w:after="24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(i) a “covered entity” as that term is defined in, and interpreted in accordance with, 12 C.F.R. §252.82(b);</w:t>
      </w:r>
    </w:p>
    <w:p>
      <w:pPr>
        <w:pStyle w:val="TextBody"/>
        <w:bidi w:val="0"/>
        <w:spacing w:lineRule="auto" w:line="288" w:before="0" w:after="24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(ii) a “covered bank” as that term is defined in, and interpreted in accordance with, 12 C.F.R. §47.3(b); or</w:t>
      </w:r>
    </w:p>
    <w:p>
      <w:pPr>
        <w:pStyle w:val="TextBody"/>
        <w:bidi w:val="0"/>
        <w:spacing w:lineRule="auto" w:line="288" w:before="0" w:after="24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(iii) a “covered FSI” as that term is defined in, and interpreted in accordance with, 12 C.F.R. §382.2(b).</w:t>
      </w:r>
    </w:p>
    <w:p>
      <w:pPr>
        <w:pStyle w:val="TextBody"/>
        <w:bidi w:val="0"/>
        <w:spacing w:lineRule="auto" w:line="288" w:before="0" w:after="240"/>
        <w:jc w:val="left"/>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§§252.81, 47.2 or 382.1, as applicable.</w:t>
      </w:r>
    </w:p>
    <w:p>
      <w:pPr>
        <w:pStyle w:val="TextBody"/>
        <w:bidi w:val="0"/>
        <w:spacing w:lineRule="auto" w:line="288" w:before="0" w:after="240"/>
        <w:jc w:val="left"/>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40"/>
        <w:ind w:left="0" w:right="0" w:firstLine="720"/>
        <w:jc w:val="both"/>
        <w:rPr/>
      </w:pPr>
      <w:bookmarkStart w:id="658" w:name="i91ae784c1523471da6bb13bba865de8d"/>
      <w:bookmarkEnd w:id="658"/>
      <w:r>
        <w:rPr>
          <w:rFonts w:ascii="Times New Roman;serif" w:hAnsi="Times New Roman;serif"/>
          <w:b/>
          <w:color w:val="000000"/>
          <w:sz w:val="22"/>
        </w:rPr>
        <w:t>Section 10.21</w:t>
      </w:r>
      <w:r>
        <w:rPr>
          <w:rFonts w:ascii="Times New Roman;serif" w:hAnsi="Times New Roman;serif"/>
          <w:b/>
          <w:color w:val="000000"/>
          <w:sz w:val="22"/>
          <w:u w:val="single"/>
        </w:rPr>
        <w:t>Electronic Signatures</w:t>
      </w:r>
      <w:r>
        <w:rPr>
          <w:rFonts w:ascii="Times New Roman;serif" w:hAnsi="Times New Roman;serif"/>
          <w:b w:val="false"/>
          <w:color w:val="000000"/>
          <w:sz w:val="22"/>
        </w:rPr>
        <w:t xml:space="preserve">.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036955"/>
                <wp:effectExtent l="0" t="0" r="0" b="0"/>
                <wp:wrapNone/>
                <wp:docPr id="274" name="Frame272"/>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148</w:t>
                      </w:r>
                    </w:p>
                  </w:txbxContent>
                </v:textbox>
                <w10:wrap type="none"/>
              </v:rect>
            </w:pict>
          </mc:Fallback>
        </mc:AlternateContent>
      </w:r>
    </w:p>
    <w:p>
      <w:pPr>
        <w:pStyle w:val="TextBody"/>
        <w:bidi w:val="0"/>
        <w:spacing w:lineRule="auto" w:line="240" w:before="0" w:after="0"/>
        <w:ind w:left="0" w:right="0" w:firstLine="720"/>
        <w:jc w:val="both"/>
        <w:rPr/>
      </w:pPr>
      <w:bookmarkStart w:id="659" w:name="i066318eb5ea544339dface22f80d459d"/>
      <w:bookmarkEnd w:id="659"/>
      <w:r>
        <w:rPr>
          <w:rFonts w:ascii="Times New Roman;serif" w:hAnsi="Times New Roman;serif"/>
          <w:b/>
          <w:color w:val="000000"/>
          <w:sz w:val="22"/>
        </w:rPr>
        <w:t>Section 10.22</w:t>
      </w:r>
      <w:r>
        <w:rPr>
          <w:rFonts w:ascii="Times New Roman;serif" w:hAnsi="Times New Roman;serif"/>
          <w:b/>
          <w:color w:val="000000"/>
          <w:sz w:val="22"/>
          <w:u w:val="single"/>
        </w:rPr>
        <w:t>Loans; Not Securities</w:t>
      </w:r>
      <w:r>
        <w:rPr>
          <w:rFonts w:ascii="Times New Roman;serif" w:hAnsi="Times New Roman;serif"/>
          <w:b w:val="false"/>
          <w:color w:val="000000"/>
          <w:sz w:val="22"/>
        </w:rPr>
        <w:t>. The parties hereto acknowledge and agree that this Agreement evidences Loans, which are not (and are not intended to be treated as) securities.</w:t>
      </w:r>
    </w:p>
    <w:p>
      <w:pPr>
        <w:pStyle w:val="TextBody"/>
        <w:bidi w:val="0"/>
        <w:spacing w:lineRule="auto" w:line="240" w:before="0" w:after="0"/>
        <w:ind w:left="0" w:right="0" w:firstLine="720"/>
        <w:jc w:val="both"/>
        <w:rPr/>
      </w:pPr>
      <w:bookmarkStart w:id="660" w:name="i761c0ebcef6840b6adc90728e389b727"/>
      <w:bookmarkEnd w:id="660"/>
      <w:r>
        <w:rPr>
          <w:rFonts w:ascii="Times New Roman;serif" w:hAnsi="Times New Roman;serif"/>
          <w:b/>
          <w:color w:val="000000"/>
          <w:sz w:val="22"/>
        </w:rPr>
        <w:t>Section 10.23</w:t>
      </w:r>
      <w:r>
        <w:rPr>
          <w:rFonts w:ascii="Times New Roman;serif" w:hAnsi="Times New Roman;serif"/>
          <w:b/>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661" w:name="i0b873d1299e9473d9122924f4469ad3e"/>
      <w:bookmarkEnd w:id="661"/>
      <w:r>
        <w:rPr>
          <w:rFonts w:ascii="Times New Roman;serif" w:hAnsi="Times New Roman;serif"/>
          <w:b/>
          <w:color w:val="000000"/>
          <w:sz w:val="22"/>
        </w:rPr>
        <w:t>Section 10.24</w:t>
      </w:r>
      <w:r>
        <w:rPr>
          <w:rFonts w:ascii="Times New Roman;serif" w:hAnsi="Times New Roman;serif"/>
          <w:b/>
          <w:color w:val="000000"/>
          <w:sz w:val="22"/>
          <w:u w:val="single"/>
        </w:rPr>
        <w:t>Releases of Collateral</w:t>
      </w:r>
      <w:r>
        <w:rPr>
          <w:rFonts w:ascii="Times New Roman;serif" w:hAnsi="Times New Roman;serif"/>
          <w:b w:val="false"/>
          <w:color w:val="000000"/>
          <w:sz w:val="22"/>
        </w:rPr>
        <w:t>. The Administrative Agent agrees with the Borrower that the Administrative Agent shall:</w:t>
      </w:r>
    </w:p>
    <w:p>
      <w:pPr>
        <w:pStyle w:val="TextBody"/>
        <w:bidi w:val="0"/>
        <w:spacing w:lineRule="auto" w:line="240" w:before="0" w:after="240"/>
        <w:ind w:left="0" w:right="0" w:firstLine="1440"/>
        <w:jc w:val="both"/>
        <w:rPr/>
      </w:pPr>
      <w:bookmarkStart w:id="662" w:name="i5e3a8a85b79349e294c8b6486e32f988"/>
      <w:bookmarkEnd w:id="662"/>
      <w:r>
        <w:rPr>
          <w:rFonts w:ascii="Times New Roman;serif" w:hAnsi="Times New Roman;serif"/>
          <w:b w:val="false"/>
          <w:color w:val="000000"/>
          <w:sz w:val="22"/>
        </w:rPr>
        <w:t>(a)</w:t>
      </w:r>
      <w:r>
        <w:rPr>
          <w:rFonts w:ascii="Times New Roman;serif" w:hAnsi="Times New Roman;serif"/>
          <w:b w:val="false"/>
          <w:color w:val="000000"/>
          <w:sz w:val="22"/>
        </w:rPr>
        <w:t xml:space="preserve">release any Lien on any property granted to or held by the Administrative Agent under any Loan Document (i) upon Payment in Full of all Obligations, (ii) subject to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when such property is sold as part of or in connection with any sale permitted hereunder or under any other Loan Document, (iii) if such release is approved, authorized or ratified in writing in accordance with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or (iv) when such property is subject to Liens permitted under </w:t>
      </w:r>
      <w:r>
        <w:rPr>
          <w:rFonts w:ascii="Times New Roman;serif" w:hAnsi="Times New Roman;serif"/>
          <w:b w:val="false"/>
          <w:color w:val="000000"/>
          <w:sz w:val="22"/>
          <w:u w:val="single"/>
        </w:rPr>
        <w:t>Sections 7.2(d)</w:t>
      </w:r>
      <w:r>
        <w:rPr>
          <w:color w:val="000000"/>
        </w:rPr>
        <w:t xml:space="preserve"> </w:t>
      </w:r>
      <w:r>
        <w:rPr>
          <w:rFonts w:ascii="Times New Roman;serif" w:hAnsi="Times New Roman;serif"/>
          <w:b w:val="false"/>
          <w:color w:val="000000"/>
          <w:sz w:val="22"/>
        </w:rPr>
        <w:t xml:space="preserve">(solely to the extent required by the holder of such Lien) and </w:t>
      </w:r>
      <w:r>
        <w:rPr>
          <w:rFonts w:ascii="Times New Roman;serif" w:hAnsi="Times New Roman;serif"/>
          <w:b w:val="false"/>
          <w:color w:val="000000"/>
          <w:sz w:val="22"/>
          <w:u w:val="single"/>
        </w:rPr>
        <w:t>7.2(e)</w:t>
      </w:r>
      <w:r>
        <w:rPr>
          <w:color w:val="000000"/>
        </w:rPr>
        <w:t xml:space="preserve"> </w:t>
      </w:r>
      <w:r>
        <w:rPr>
          <w:rFonts w:ascii="Times New Roman;serif" w:hAnsi="Times New Roman;serif"/>
          <w:b w:val="false"/>
          <w:color w:val="000000"/>
          <w:sz w:val="22"/>
        </w:rPr>
        <w:t xml:space="preserve">(solely to the extent required by the holder of such Lien) and, to the extent relating to extensions, renewals or replacements of such Liens permitted under </w:t>
      </w:r>
      <w:r>
        <w:rPr>
          <w:rFonts w:ascii="Times New Roman;serif" w:hAnsi="Times New Roman;serif"/>
          <w:b w:val="false"/>
          <w:color w:val="000000"/>
          <w:sz w:val="22"/>
          <w:u w:val="single"/>
        </w:rPr>
        <w:t>Section 7.2(d)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7.2(e)</w:t>
      </w:r>
      <w:r>
        <w:rPr>
          <w:rFonts w:ascii="Times New Roman;serif" w:hAnsi="Times New Roman;serif"/>
          <w:b w:val="false"/>
          <w:color w:val="000000"/>
          <w:sz w:val="22"/>
        </w:rPr>
        <w:t xml:space="preserve">, in accordance with </w:t>
      </w:r>
      <w:r>
        <w:rPr>
          <w:rFonts w:ascii="Times New Roman;serif" w:hAnsi="Times New Roman;serif"/>
          <w:b w:val="false"/>
          <w:color w:val="000000"/>
          <w:sz w:val="22"/>
          <w:u w:val="single"/>
        </w:rPr>
        <w:t>Section 7.2(f)</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663" w:name="ic2e85e20355b42e899041e3049622555"/>
      <w:bookmarkEnd w:id="663"/>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release any Subsidiary Loan Party from its obligations under the applicable Collateral Documents (including its Guarantee of the Obligations) (i) if such Person ceases to be a Subsidiary as a result of a transaction permitted hereunder or (ii) if such Subsidiary becomes an Excluded Subsidiary in accordance with the terms 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any Guarantor ceases to be wholly-owned, directly or indirectly, by the Borrower, such Subsidiary shall not be released from its obligations under the Loan Documents unless (v) no Event of Default shall exist at such time or result therefrom, (w) such Guarantor does not own, hold or exclusively license material Intellectual Property, (x) such cessation occurs pursuant to the formation of a bona fide joint venture with a third party that is not an Affiliate of the Borrower or its Subsidiaries and not in contemplation of adversely affecting the Secured Parties’ interests in the Guarantees and/or Collateral, (y) after giving pro forma effect to such release and the consummation of the transaction that causes such Person to be released, the Borrower shall be deemed to have made a new Investment in such Person (as if such Person were then newly acquired) and such Investment shall be permitted at such time pursuant to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and (z) such transaction is not entered into for the primary purpose of releasing such Guarantor from its Guarantee of the Obligations, and, in each case, a Responsible Officer of the Borrower certifies to the Administrative Agent compliance with preceding clause (v) or through (z);</w:t>
      </w:r>
    </w:p>
    <w:p>
      <w:pPr>
        <w:pStyle w:val="TextBody"/>
        <w:bidi w:val="0"/>
        <w:spacing w:lineRule="auto" w:line="240" w:before="0" w:after="240"/>
        <w:ind w:left="0" w:right="0" w:firstLine="1440"/>
        <w:jc w:val="both"/>
        <w:rPr/>
      </w:pPr>
      <w:bookmarkStart w:id="664" w:name="id4f19b215a184915bec67d5cc2633c9c"/>
      <w:bookmarkEnd w:id="664"/>
      <w:r>
        <w:rPr>
          <w:rFonts w:ascii="Times New Roman;serif" w:hAnsi="Times New Roman;serif"/>
          <w:b w:val="false"/>
          <w:color w:val="000000"/>
          <w:sz w:val="22"/>
        </w:rPr>
        <w:t>(c)</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10.2</w:t>
      </w:r>
      <w:r>
        <w:rPr>
          <w:rFonts w:ascii="Times New Roman;serif" w:hAnsi="Times New Roman;serif"/>
          <w:b w:val="false"/>
          <w:color w:val="000000"/>
          <w:sz w:val="22"/>
        </w:rPr>
        <w:t>, release any Lien on any Capital Stock of any Subsidiary that ceases to be a Subsidiary as a result of any transaction permitted hereunder; and</w:t>
      </w:r>
    </w:p>
    <w:p>
      <w:pPr>
        <w:pStyle w:val="TextBody"/>
        <w:bidi w:val="0"/>
        <w:spacing w:lineRule="auto" w:line="240" w:before="0" w:after="240"/>
        <w:ind w:left="0" w:right="0" w:firstLine="1440"/>
        <w:jc w:val="both"/>
        <w:rPr/>
      </w:pPr>
      <w:bookmarkStart w:id="665" w:name="i357e65c1b375473d9629ea5880fb5ad6"/>
      <w:bookmarkEnd w:id="665"/>
      <w:r>
        <w:rPr>
          <w:rFonts w:ascii="Times New Roman;serif" w:hAnsi="Times New Roman;serif"/>
          <w:b w:val="false"/>
          <w:color w:val="000000"/>
          <w:sz w:val="22"/>
        </w:rPr>
        <w:t>(d)</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10.2</w:t>
      </w:r>
      <w:r>
        <w:rPr>
          <w:rFonts w:ascii="Times New Roman;serif" w:hAnsi="Times New Roman;serif"/>
          <w:b w:val="false"/>
          <w:color w:val="000000"/>
          <w:sz w:val="22"/>
        </w:rPr>
        <w:t xml:space="preserve">, subordinate the Liens and security interests of the Administrative Agent on any Collateral to the extent contemplated by, and in accordance with the requirements of (including that any intercreditor agreement entered into in connection therewith be reasonably satisfactory to the Administrative Agent), Indebtedness permitted hereunder that is secured by Liens permitted by </w:t>
      </w:r>
      <w:r>
        <w:rPr>
          <w:rFonts w:ascii="Times New Roman;serif" w:hAnsi="Times New Roman;serif"/>
          <w:b w:val="false"/>
          <w:color w:val="000000"/>
          <w:sz w:val="22"/>
          <w:u w:val="single"/>
        </w:rPr>
        <w:t>Section 7.2(d)</w:t>
      </w:r>
      <w:r>
        <w:rPr>
          <w:color w:val="000000"/>
        </w:rPr>
        <w:t xml:space="preserve"> </w:t>
      </w:r>
      <w:r>
        <w:rPr>
          <w:rFonts w:ascii="Times New Roman;serif" w:hAnsi="Times New Roman;serif"/>
          <w:b w:val="false"/>
          <w:color w:val="000000"/>
          <w:sz w:val="22"/>
        </w:rPr>
        <w:t xml:space="preserve">or as otherwise permitted by </w:t>
      </w:r>
      <w:r>
        <w:rPr>
          <w:rFonts w:ascii="Times New Roman;serif" w:hAnsi="Times New Roman;serif"/>
          <w:b w:val="false"/>
          <w:color w:val="000000"/>
          <w:sz w:val="22"/>
          <w:u w:val="single"/>
        </w:rPr>
        <w:t>Section 10.2(b)(viii)</w:t>
      </w:r>
      <w:r>
        <w:rPr>
          <w:rFonts w:ascii="Times New Roman;serif" w:hAnsi="Times New Roman;serif"/>
          <w:b w:val="false"/>
          <w:color w:val="000000"/>
          <w:sz w:val="22"/>
        </w:rPr>
        <w:t>;</w:t>
      </w:r>
    </w:p>
    <w:p>
      <w:pPr>
        <w:pStyle w:val="TextBody"/>
        <w:bidi w:val="0"/>
        <w:spacing w:lineRule="auto" w:line="288" w:before="0" w:after="240"/>
        <w:jc w:val="both"/>
        <w:rPr/>
      </w:pPr>
      <w:bookmarkStart w:id="666" w:name="ifa1576be453843f79a357c9385a27ad9"/>
      <w:bookmarkEnd w:id="666"/>
      <w:r>
        <w:rPr>
          <w:rFonts w:ascii="Times New Roman;serif" w:hAnsi="Times New Roman;serif"/>
          <w:b w:val="false"/>
          <w:color w:val="000000"/>
          <w:sz w:val="24"/>
        </w:rPr>
        <w:t>(e)</w:t>
      </w:r>
      <w:r>
        <w:rPr>
          <w:rFonts w:ascii="Times New Roman;serif" w:hAnsi="Times New Roman;serif"/>
          <w:b w:val="false"/>
          <w:color w:val="000000"/>
          <w:sz w:val="22"/>
        </w:rPr>
        <w:t xml:space="preserve">in each case, upon delivery by the Borrower of a certificate of a Responsible Officer to the Administrative Agent requesting and certifying as to the grounds for such release or subordination pursuant to this </w:t>
      </w:r>
      <w:r>
        <w:rPr>
          <w:rFonts w:ascii="Times New Roman;serif" w:hAnsi="Times New Roman;serif"/>
          <w:b w:val="false"/>
          <w:color w:val="000000"/>
          <w:sz w:val="22"/>
          <w:u w:val="single"/>
        </w:rPr>
        <w:t>Section 10.24</w:t>
      </w:r>
      <w:r>
        <w:rPr>
          <w:rFonts w:ascii="Times New Roman;serif" w:hAnsi="Times New Roman;serif"/>
          <w:b w:val="false"/>
          <w:color w:val="000000"/>
          <w:sz w:val="22"/>
        </w:rPr>
        <w:t>, as applicable.</w:t>
      </w:r>
    </w:p>
    <w:p>
      <w:pPr>
        <w:pStyle w:val="TextBody"/>
        <w:bidi w:val="0"/>
        <w:spacing w:lineRule="auto" w:line="288" w:before="0" w:after="240"/>
        <w:jc w:val="both"/>
        <w:rPr/>
      </w:pPr>
      <w:bookmarkStart w:id="667" w:name="i8e36d970a102433b9f114717fbd1f42c"/>
      <w:bookmarkEnd w:id="667"/>
      <w:r>
        <w:rPr>
          <w:rFonts w:ascii="Times New Roman;serif" w:hAnsi="Times New Roman;serif"/>
          <w:b w:val="false"/>
          <w:color w:val="000000"/>
          <w:sz w:val="24"/>
        </w:rPr>
        <w:t>(f)</w:t>
      </w:r>
      <w:r>
        <w:rPr>
          <w:rFonts w:ascii="Times New Roman;serif" w:hAnsi="Times New Roman;serif"/>
          <w:b w:val="false"/>
          <w:color w:val="000000"/>
          <w:sz w:val="22"/>
        </w:rPr>
        <w:t xml:space="preserve">In each case as specified in this </w:t>
      </w:r>
      <w:r>
        <w:rPr>
          <w:rFonts w:ascii="Times New Roman;serif" w:hAnsi="Times New Roman;serif"/>
          <w:b w:val="false"/>
          <w:color w:val="000000"/>
          <w:sz w:val="22"/>
          <w:u w:val="single"/>
        </w:rPr>
        <w:t>Section 10.24</w:t>
      </w:r>
      <w:r>
        <w:rPr>
          <w:rFonts w:ascii="Times New Roman;serif" w:hAnsi="Times New Roman;serif"/>
          <w:b w:val="false"/>
          <w:color w:val="000000"/>
          <w:sz w:val="22"/>
        </w:rPr>
        <w:t xml:space="preserve">, the Administrative Agent is authorized by the Secured Parties and the Borrower and shall, at the Borrower’s expense, execute and deliver to the applicable Loan Party such documents as such Loan Party may reasonably request to evidence the release of such item of Collateral from the Liens granted under the applicable Collateral Documents, or release such Loan Party from its obligations under the applicable Collateral Documents, in each case in accordance with the terms of the Loan Documents and this </w:t>
      </w:r>
      <w:r>
        <w:rPr>
          <w:rFonts w:ascii="Times New Roman;serif" w:hAnsi="Times New Roman;serif"/>
          <w:b w:val="false"/>
          <w:color w:val="000000"/>
          <w:sz w:val="22"/>
          <w:u w:val="single"/>
        </w:rPr>
        <w:t>Section 10.24</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036955"/>
                <wp:effectExtent l="0" t="0" r="0" b="0"/>
                <wp:wrapNone/>
                <wp:docPr id="275" name="Frame273"/>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LEGAL02/47564990v13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149</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authorized officers as of the day and year first above written.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2"/>
        </w:rPr>
        <w:t>COLLEGIUM PHARMACEUTICAL, INC.</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Colleen Tupper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Colleen Tupper</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and Chief Financial Officer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316355"/>
                <wp:effectExtent l="0" t="0" r="0" b="0"/>
                <wp:wrapNone/>
                <wp:docPr id="276" name="Frame27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TRUIST BANK</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the Administrative Agent, an Issuing Bank, the Swingline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Alexandra Korchmar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Alexandra Korchmar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316355"/>
                <wp:effectExtent l="0" t="0" r="0" b="0"/>
                <wp:wrapNone/>
                <wp:docPr id="277" name="Frame27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Citizens Bank, NA</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Svetlana Lehman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Svetlana Lehmann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316355"/>
                <wp:effectExtent l="0" t="0" r="0" b="0"/>
                <wp:wrapNone/>
                <wp:docPr id="278" name="Frame27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MUFG Bank, Ltd.</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Brian Mattesich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Brian Mattesich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316355"/>
                <wp:effectExtent l="0" t="0" r="0" b="0"/>
                <wp:wrapNone/>
                <wp:docPr id="279" name="Frame27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FIFTH THIRD BANK, NATIONAL ASSOCIATION.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Shailesh Patel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Shailesh Patel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316355"/>
                <wp:effectExtent l="0" t="0" r="0" b="0"/>
                <wp:wrapNone/>
                <wp:docPr id="280" name="Frame27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The Huntington National Bank</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Joseph A. Miller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Joseph A. Miller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316355"/>
                <wp:effectExtent l="0" t="0" r="0" b="0"/>
                <wp:wrapNone/>
                <wp:docPr id="281" name="Frame279"/>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U.S. Bank National Association</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Amber Koens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Amber Koens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316355"/>
                <wp:effectExtent l="0" t="0" r="0" b="0"/>
                <wp:wrapNone/>
                <wp:docPr id="282" name="Frame280"/>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Flagstar Bank, 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Grant Hinton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Grant Hinton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316355"/>
                <wp:effectExtent l="0" t="0" r="0" b="0"/>
                <wp:wrapNone/>
                <wp:docPr id="283" name="Frame281"/>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PNC BANK, NATIONAL ASSOCIATION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Madison Johnson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Madison Johnson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Assistant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316355"/>
                <wp:effectExtent l="0" t="0" r="0" b="0"/>
                <wp:wrapNone/>
                <wp:docPr id="284" name="Frame282"/>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SYNOVUS BANK</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Caitlin Blalock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Caitlin Blalock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316355"/>
                <wp:effectExtent l="0" t="0" r="0" b="0"/>
                <wp:wrapNone/>
                <wp:docPr id="285" name="Frame283"/>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Optum Bank, Inc.</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Scott Barrier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Scott Barrier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316355"/>
                <wp:effectExtent l="0" t="0" r="0" b="0"/>
                <wp:wrapNone/>
                <wp:docPr id="286" name="Frame284"/>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TEXAS CAPITAL BANK</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Heath B. Lipson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Heath B. Lipson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Executive Director, Credit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316355"/>
                <wp:effectExtent l="0" t="0" r="0" b="0"/>
                <wp:wrapNone/>
                <wp:docPr id="287" name="Frame285"/>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First Horizon Bank</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Bill Berrell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Bill Berrell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316355"/>
                <wp:effectExtent l="0" t="0" r="0" b="0"/>
                <wp:wrapNone/>
                <wp:docPr id="288" name="Frame286"/>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BANK HAPOALIM B.M.,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Carl Giordano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Carl Giordano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First Senior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Patrick Stone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Patrick Stone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First Vice President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316355"/>
                <wp:effectExtent l="0" t="0" r="0" b="0"/>
                <wp:wrapNone/>
                <wp:docPr id="289" name="Frame287"/>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WEBSTER BANK, NATIONAL ASSOCIATION</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David M. Ferretti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David M. Ferretti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59"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316355"/>
                <wp:effectExtent l="0" t="0" r="0" b="0"/>
                <wp:wrapNone/>
                <wp:docPr id="290" name="Frame288"/>
                <a:graphic xmlns:a="http://schemas.openxmlformats.org/drawingml/2006/main">
                  <a:graphicData uri="http://schemas.microsoft.com/office/word/2010/wordprocessingShape">
                    <wps:wsp>
                      <wps:cNvSpPr txBox="1"/>
                      <wps:spPr>
                        <a:xfrm>
                          <a:off x="0" y="0"/>
                          <a:ext cx="6480175" cy="13163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Collegium Pharmaceutical, inc.</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Credit Agreement</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Signature Page</w:t>
                      </w:r>
                    </w:p>
                    <w:p>
                      <w:pPr>
                        <w:pStyle w:val="TextBody"/>
                        <w:bidi w:val="0"/>
                        <w:spacing w:before="0" w:after="0"/>
                        <w:jc w:val="left"/>
                        <w:rPr/>
                      </w:pPr>
                      <w:r>
                        <w:rPr/>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330042200 v2</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Collegium Pharmaceutical, Inc.</w:t>
      </w:r>
    </w:p>
    <w:p>
      <w:pPr>
        <w:pStyle w:val="TextBody"/>
        <w:bidi w:val="0"/>
        <w:spacing w:before="0" w:after="0"/>
        <w:jc w:val="center"/>
        <w:rPr/>
      </w:pPr>
      <w:r>
        <w:rPr/>
      </w:r>
    </w:p>
    <w:tbl>
      <w:tblPr>
        <w:tblW w:w="6448" w:type="dxa"/>
        <w:jc w:val="left"/>
        <w:tblInd w:w="0" w:type="dxa"/>
        <w:tblLayout w:type="fixed"/>
        <w:tblCellMar>
          <w:top w:w="28" w:type="dxa"/>
          <w:left w:w="28" w:type="dxa"/>
          <w:bottom w:w="28" w:type="dxa"/>
          <w:right w:w="28" w:type="dxa"/>
        </w:tblCellMar>
      </w:tblPr>
      <w:tblGrid>
        <w:gridCol w:w="1439"/>
        <w:gridCol w:w="1262"/>
        <w:gridCol w:w="1273"/>
        <w:gridCol w:w="724"/>
        <w:gridCol w:w="724"/>
        <w:gridCol w:w="1026"/>
      </w:tblGrid>
      <w:tr>
        <w:trPr/>
        <w:tc>
          <w:tcPr>
            <w:tcW w:w="143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Subsidiary</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Jurisdiction of Incorporation</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Collegium Securities Corporation</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BioDelivery Sciences International,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Arius Pharmaceuticals,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Arius Two,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Ironshore Therapeutics,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Ironshore Pharmaceuticals &amp; Development,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Ironshore Pharmaceuticals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Ironshore Pharmaceuticals Canada Inc.</w:t>
            </w:r>
          </w:p>
        </w:tc>
        <w:tc>
          <w:tcPr>
            <w:tcW w:w="247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 333-237200 on Form S-3 and Registration Statement Nos. 333-207744, 333-218767, 333-225498, 333-233092, 333-245649, 333-258752, 333-266778, 333-273874, 333-281571, 333-285593, and 333-287838 on Form S-8 of our reports dated February 26, 2026, relating to the financial statements of Collegium Pharmaceutical, Inc. (the “Company”), and the effectiveness of the Company's internal control over financial reporting appearing in this Annual Report on Form 10-K of Collegium Pharmaceutical, Inc.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TO SECTION 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Vikram Karnani,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Collegium Pharmaceutical,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1" w:type="dxa"/>
        <w:jc w:val="left"/>
        <w:tblInd w:w="0" w:type="dxa"/>
        <w:tblLayout w:type="fixed"/>
        <w:tblCellMar>
          <w:top w:w="28" w:type="dxa"/>
          <w:left w:w="28" w:type="dxa"/>
          <w:bottom w:w="28" w:type="dxa"/>
          <w:right w:w="28" w:type="dxa"/>
        </w:tblCellMar>
      </w:tblPr>
      <w:tblGrid>
        <w:gridCol w:w="124"/>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TO SECTION 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Colleen Tupper,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Collegium Pharmaceutical,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7"/>
        <w:gridCol w:w="1317"/>
        <w:gridCol w:w="1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Collegium Pharmaceutical, Inc. (the “Company”) for the fiscal year ended December 31, 2025 as filed with the Securities and Exchange Commission on the date hereof (the “Report”), the undersigned, Vikram Karnani, President and Chief Executive Officer of the Company, hereby certifies, pursuant to 18 U.S.C. Section 1350, as adopted pursuant to Section 906 of the Sarbanes-Oxley Act of 2002, that to their knowledge: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81" w:type="dxa"/>
        <w:jc w:val="left"/>
        <w:tblInd w:w="0" w:type="dxa"/>
        <w:tblLayout w:type="fixed"/>
        <w:tblCellMar>
          <w:top w:w="28" w:type="dxa"/>
          <w:left w:w="28" w:type="dxa"/>
          <w:bottom w:w="28" w:type="dxa"/>
          <w:right w:w="28" w:type="dxa"/>
        </w:tblCellMar>
      </w:tblPr>
      <w:tblGrid>
        <w:gridCol w:w="124"/>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VIKRAM KARNANI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Vikram Karnani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Collegium Pharmaceutical, Inc. (the “Company”) for the fiscal year ended December 31, 2025 as filed with the Securities and Exchange Commission on the date hereof (the “Report”), the undersigned, Colleen Tupper, Executive Vice President and Chief Financial Officer of the Company, hereby certifies, pursuant to 18 U.S.C. Section 1350, as adopted pursuant to Section 906 of the Sarbanes-Oxley Act of 2002, that to their knowledge: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87" w:type="dxa"/>
        <w:jc w:val="left"/>
        <w:tblInd w:w="0" w:type="dxa"/>
        <w:tblLayout w:type="fixed"/>
        <w:tblCellMar>
          <w:top w:w="28" w:type="dxa"/>
          <w:left w:w="28" w:type="dxa"/>
          <w:bottom w:w="28" w:type="dxa"/>
          <w:right w:w="28" w:type="dxa"/>
        </w:tblCellMar>
      </w:tblPr>
      <w:tblGrid>
        <w:gridCol w:w="124"/>
        <w:gridCol w:w="109"/>
        <w:gridCol w:w="109"/>
        <w:gridCol w:w="1331"/>
        <w:gridCol w:w="1331"/>
        <w:gridCol w:w="1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COLLEEN TUPPER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Colleen Tupper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Executive Vice President and Chief Financial Officer </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ambria Math">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267565/000110465922021595/tm226564d1_ex2-1.htm" TargetMode="External"/><Relationship Id="rId5" Type="http://schemas.openxmlformats.org/officeDocument/2006/relationships/hyperlink" Target="https://www.sec.gov/Archives/edgar/data/1267565/000110465924083126/tm2420341d1_ex2-1.htm" TargetMode="External"/><Relationship Id="rId6" Type="http://schemas.openxmlformats.org/officeDocument/2006/relationships/hyperlink" Target="https://www.sec.gov/Archives/edgar/data/1267565/000155837020009387/coll-20200630xex3d1.htm" TargetMode="External"/><Relationship Id="rId7" Type="http://schemas.openxmlformats.org/officeDocument/2006/relationships/hyperlink" Target="https://www.sec.gov/Archives/edgar/data/1267565/000110465917071469/a17-27884_1ex3d1.htm" TargetMode="External"/><Relationship Id="rId8" Type="http://schemas.openxmlformats.org/officeDocument/2006/relationships/hyperlink" Target="https://www.sec.gov/Archives/edgar/data/1267565/000110465920020297/tm207070d2_ex4-1.htm" TargetMode="External"/><Relationship Id="rId9" Type="http://schemas.openxmlformats.org/officeDocument/2006/relationships/hyperlink" Target="https://www.sec.gov/Archives/edgar/data/1267565/000110465920020297/tm207070d2_ex4-2.htm" TargetMode="External"/><Relationship Id="rId10" Type="http://schemas.openxmlformats.org/officeDocument/2006/relationships/hyperlink" Target="https://www.sec.gov/Archives/edgar/data/1267565/000110465920020297/tm207070d2_ex4-2.htm" TargetMode="External"/><Relationship Id="rId11" Type="http://schemas.openxmlformats.org/officeDocument/2006/relationships/hyperlink" Target="https://www.sec.gov/Archives/edgar/data/1267565/000110465923019671/tm235915d1_ex4-1.htm" TargetMode="External"/><Relationship Id="rId12" Type="http://schemas.openxmlformats.org/officeDocument/2006/relationships/hyperlink" Target="https://www.sec.gov/Archives/edgar/data/1267565/000110465923019671/tm235915d1_ex4-1.htm" TargetMode="External"/><Relationship Id="rId13" Type="http://schemas.openxmlformats.org/officeDocument/2006/relationships/hyperlink" Target="https://www.sec.gov/Archives/edgar/data/1267565/000155837023001900/coll-20221231xex4d7.htm" TargetMode="External"/><Relationship Id="rId14" Type="http://schemas.openxmlformats.org/officeDocument/2006/relationships/hyperlink" Target="https://www.sec.gov/Archives/edgar/data/1267565/000155837018004474/coll-20180331ex102859bb7.htm" TargetMode="External"/><Relationship Id="rId15" Type="http://schemas.openxmlformats.org/officeDocument/2006/relationships/hyperlink" Target="https://www.sec.gov/Archives/edgar/data/1267565/000110465915074912/a15-22080_1ex10d2.htm" TargetMode="External"/><Relationship Id="rId16" Type="http://schemas.openxmlformats.org/officeDocument/2006/relationships/hyperlink" Target="https://www.sec.gov/Archives/edgar/data/1267565/000104746915003920/a2224429zex-10_34.htm" TargetMode="External"/><Relationship Id="rId17" Type="http://schemas.openxmlformats.org/officeDocument/2006/relationships/hyperlink" Target="https://www.sec.gov/Archives/edgar/data/1267565/000110465925050435/tm2515549d1_ex10-1.htm" TargetMode="External"/><Relationship Id="rId18" Type="http://schemas.openxmlformats.org/officeDocument/2006/relationships/hyperlink" Target="https://www.sec.gov/Archives/edgar/data/1267565/000110465925050435/tm2515549d1_ex10-1.htm" TargetMode="External"/><Relationship Id="rId19" Type="http://schemas.openxmlformats.org/officeDocument/2006/relationships/hyperlink" Target="https://www.sec.gov/Archives/edgar/data/1267565/000110465925057294/tm2517081d1_ex99-3.htm" TargetMode="External"/><Relationship Id="rId20" Type="http://schemas.openxmlformats.org/officeDocument/2006/relationships/hyperlink" Target="https://www.sec.gov/Archives/edgar/data/1267565/000110465925057294/tm2517081d1_ex99-5.htm" TargetMode="External"/><Relationship Id="rId21" Type="http://schemas.openxmlformats.org/officeDocument/2006/relationships/hyperlink" Target="https://www.sec.gov/Archives/edgar/data/1267565/000110465925057294/tm2517081d1_ex99-2.htm" TargetMode="External"/><Relationship Id="rId22" Type="http://schemas.openxmlformats.org/officeDocument/2006/relationships/hyperlink" Target="https://www.sec.gov/Archives/edgar/data/1267565/000110465925057294/tm2517081d1_ex99-4.htm" TargetMode="External"/><Relationship Id="rId23" Type="http://schemas.openxmlformats.org/officeDocument/2006/relationships/hyperlink" Target="https://www.sec.gov/Archives/edgar/data/1267565/000104746915003920/a2224429zex-10_37.htm" TargetMode="External"/><Relationship Id="rId24" Type="http://schemas.openxmlformats.org/officeDocument/2006/relationships/hyperlink" Target="https://www.sec.gov/Archives/edgar/data/1267565/000110465920140581/tm2039449d1_ex10-3.htm" TargetMode="External"/><Relationship Id="rId25" Type="http://schemas.openxmlformats.org/officeDocument/2006/relationships/hyperlink" Target="https://www.sec.gov/Archives/edgar/data/1267565/000155837020005738/coll-20200331xex10d4.htm" TargetMode="External"/><Relationship Id="rId26" Type="http://schemas.openxmlformats.org/officeDocument/2006/relationships/hyperlink" Target="https://www.sec.gov/Archives/edgar/data/1267565/000155837020005738/coll-20200331xex10d5.htm" TargetMode="External"/><Relationship Id="rId27" Type="http://schemas.openxmlformats.org/officeDocument/2006/relationships/hyperlink" Target="https://www.sec.gov/Archives/edgar/data/1267565/000110465920110179/tm2031781d2_ex10-1.htm" TargetMode="External"/><Relationship Id="rId28" Type="http://schemas.openxmlformats.org/officeDocument/2006/relationships/hyperlink" Target="https://www.sec.gov/Archives/edgar/data/1267565/000155837021010562/coll-20210630xex10d1.htm" TargetMode="External"/><Relationship Id="rId29" Type="http://schemas.openxmlformats.org/officeDocument/2006/relationships/hyperlink" Target="https://www.sec.gov/Archives/edgar/data/1267565/000155837024011586/coll-20240630xex10d1.htm" TargetMode="External"/><Relationship Id="rId30" Type="http://schemas.openxmlformats.org/officeDocument/2006/relationships/hyperlink" Target="https://www.sec.gov/Archives/edgar/data/1103021/000119312519102820/d695197dex101.htm" TargetMode="External"/><Relationship Id="rId31" Type="http://schemas.openxmlformats.org/officeDocument/2006/relationships/hyperlink" Target="https://www.sec.gov/Archives/edgar/data/1267565/000155837022008090/coll-20220331xex10d4.htm" TargetMode="External"/><Relationship Id="rId32" Type="http://schemas.openxmlformats.org/officeDocument/2006/relationships/hyperlink" Target="https://www.sec.gov/Archives/edgar/data/1267565/000155837022008090/coll-20220331xex10d6.htm" TargetMode="External"/><Relationship Id="rId33" Type="http://schemas.openxmlformats.org/officeDocument/2006/relationships/hyperlink" Target="https://www.sec.gov/Archives/edgar/data/1267565/000155837022008090/coll-20220331xex10d7.htm" TargetMode="External"/><Relationship Id="rId34" Type="http://schemas.openxmlformats.org/officeDocument/2006/relationships/hyperlink" Target="https://www.sec.gov/Archives/edgar/data/1267565/000155837025001801/coll-20241231xex10d20.htm" TargetMode="External"/><Relationship Id="rId35" Type="http://schemas.openxmlformats.org/officeDocument/2006/relationships/hyperlink" Target="https://www.sec.gov/Archives/edgar/data/1267565/000155837025006960/coll-20250331xex10d1.htm" TargetMode="External"/><Relationship Id="rId36" Type="http://schemas.openxmlformats.org/officeDocument/2006/relationships/hyperlink" Target="https://www.sec.gov/Archives/edgar/data/0001267565/000155837024001526/coll-20231231xex19.htm" TargetMode="External"/><Relationship Id="rId37" Type="http://schemas.openxmlformats.org/officeDocument/2006/relationships/hyperlink" Target="https://www.sec.gov/Archives/edgar/data/0001267565/000155837024001526/coll-20231231xex97.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184</Pages>
  <Words>171889</Words>
  <Characters>944204</Characters>
  <CharactersWithSpaces>1112029</CharactersWithSpaces>
  <Paragraphs>7201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