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5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Freund John Gordon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COLLEGIUM PHARMACEUTICAL, INC. 100 TECHNOLOGY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COLLEGIUM PHARMACEUTICAL,</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540" w:space="380"/>
            <w:col w:w="3320" w:space="495"/>
            <w:col w:w="3265"/>
          </w:cols>
          <w:pgMar w:left="460" w:top="219" w:right="439" w:bottom="553"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3540" w:type="dxa"/>
            <w:vAlign w:val="bottom"/>
            <w:gridSpan w:val="5"/>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100" w:type="dxa"/>
            <w:vAlign w:val="bottom"/>
            <w:gridSpan w:val="4"/>
            <w:vMerge w:val="restart"/>
          </w:tcPr>
          <w:p>
            <w:pPr>
              <w:ind w:left="3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STOUGHTON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02072</w:t>
            </w: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4"/>
            <w:vMerge w:val="restart"/>
          </w:tcPr>
          <w:p>
            <w:pPr>
              <w:ind w:left="3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1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vMerge w:val="restart"/>
          </w:tcPr>
          <w:p>
            <w:pPr>
              <w:ind w:left="38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04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040" w:type="dxa"/>
            <w:vAlign w:val="bottom"/>
            <w:gridSpan w:val="2"/>
          </w:tcPr>
          <w:p>
            <w:pPr>
              <w:ind w:left="1100"/>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83,952</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Freund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23,129</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8,625</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2"/>
          <w:szCs w:val="22"/>
          <w:color w:val="008000"/>
          <w:vertAlign w:val="superscript"/>
        </w:rPr>
        <w:t>(2)</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John Freund Family Partnership IV, L.P. ("Freund LP"). The Reporting Person is the trustee and beneficiary of the The John G. Freund Revocable Trust u/a/d 6/26/01 which serves as the general partner of Freund LP. The Reporting Person disclaims beneficial ownership of the shares held by Freund LP except to the extent of his proportionate pecuniary interest therein.</w:t>
      </w:r>
    </w:p>
    <w:p>
      <w:pPr>
        <w:spacing w:after="0" w:line="7"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Skyline Venture Management V, LLC. John G. Freund and Yasunori Kaneko are managers of Skyline Venture Management V, LLC. These individuals share voting and investment power over the shares held by Skyline Venture Management V, LLC. The Reporting Person disclaims beneficial ownership of all the shares held by Skyline Venture Management V, LLC except to the extent of his proportionate pecuniary interest therein.</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Colleen Tupper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4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G.</w:t>
        <w:tab/>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5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267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2026-05-20T15:07:48Z</dcterms:created>
  <dcterms:modified xsi:type="dcterms:W3CDTF">2026-05-20T15:07:48Z</dcterms:modified>
</cp:coreProperties>
</file>